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3BD6" w14:textId="77777777" w:rsidR="005369CB" w:rsidRDefault="005369CB">
      <w:pPr>
        <w:spacing w:after="441" w:line="265" w:lineRule="auto"/>
        <w:ind w:left="502" w:hanging="10"/>
        <w:jc w:val="center"/>
        <w:rPr>
          <w:rFonts w:ascii="Times New Roman" w:eastAsia="Times New Roman" w:hAnsi="Times New Roman" w:cs="Times New Roman"/>
          <w:i/>
          <w:lang w:val="fr-CA"/>
        </w:rPr>
      </w:pPr>
    </w:p>
    <w:p w14:paraId="508481A1" w14:textId="0B83F755" w:rsidR="002C6111" w:rsidRPr="00AE5F07" w:rsidRDefault="00AE5F07">
      <w:pPr>
        <w:spacing w:after="441" w:line="265" w:lineRule="auto"/>
        <w:ind w:left="502" w:hanging="10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i/>
          <w:lang w:val="fr-CA"/>
        </w:rPr>
        <w:t>Formule 62A</w:t>
      </w:r>
    </w:p>
    <w:p w14:paraId="066DD502" w14:textId="77777777" w:rsidR="002C6111" w:rsidRPr="00AE5F07" w:rsidRDefault="00AE5F07">
      <w:pPr>
        <w:spacing w:after="0" w:line="265" w:lineRule="auto"/>
        <w:ind w:left="2537" w:right="2064" w:hanging="10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b/>
          <w:lang w:val="fr-CA"/>
        </w:rPr>
        <w:t>FORMULAIRE</w:t>
      </w:r>
    </w:p>
    <w:p w14:paraId="3E916732" w14:textId="77777777" w:rsidR="002C6111" w:rsidRPr="00AE5F07" w:rsidRDefault="00AE5F07">
      <w:pPr>
        <w:spacing w:after="201" w:line="265" w:lineRule="auto"/>
        <w:ind w:left="2537" w:right="2064" w:hanging="10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b/>
          <w:lang w:val="fr-CA"/>
        </w:rPr>
        <w:t>FORMULE 62A</w:t>
      </w:r>
    </w:p>
    <w:p w14:paraId="6B30CF37" w14:textId="77777777" w:rsidR="002C6111" w:rsidRPr="00AE5F07" w:rsidRDefault="00AE5F07" w:rsidP="00D96DC3">
      <w:pPr>
        <w:spacing w:after="840" w:line="264" w:lineRule="auto"/>
        <w:ind w:left="2540" w:right="2064" w:hanging="11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b/>
          <w:lang w:val="fr-CA"/>
        </w:rPr>
        <w:t>AVIS DE MOTION EN AUTORISATION D’APPEL</w:t>
      </w:r>
    </w:p>
    <w:p w14:paraId="4A8A59F4" w14:textId="77777777" w:rsidR="002C6111" w:rsidRPr="00AE5F07" w:rsidRDefault="00AE5F07">
      <w:pPr>
        <w:spacing w:line="265" w:lineRule="auto"/>
        <w:ind w:left="502" w:right="30" w:hanging="10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(</w:t>
      </w:r>
      <w:r w:rsidRPr="00AE5F07">
        <w:rPr>
          <w:rFonts w:ascii="Times New Roman" w:eastAsia="Times New Roman" w:hAnsi="Times New Roman" w:cs="Times New Roman"/>
          <w:i/>
          <w:lang w:val="fr-CA"/>
        </w:rPr>
        <w:t>Cour; N</w:t>
      </w:r>
      <w:r w:rsidRPr="00AE5F07">
        <w:rPr>
          <w:rFonts w:ascii="Times New Roman" w:eastAsia="Times New Roman" w:hAnsi="Times New Roman" w:cs="Times New Roman"/>
          <w:i/>
          <w:sz w:val="27"/>
          <w:vertAlign w:val="superscript"/>
          <w:lang w:val="fr-CA"/>
        </w:rPr>
        <w:t>o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 du dossier; Intitulé de l’instance</w:t>
      </w:r>
      <w:r w:rsidRPr="00AE5F07">
        <w:rPr>
          <w:rFonts w:ascii="Times New Roman" w:eastAsia="Times New Roman" w:hAnsi="Times New Roman" w:cs="Times New Roman"/>
          <w:lang w:val="fr-CA"/>
        </w:rPr>
        <w:t>)</w:t>
      </w:r>
    </w:p>
    <w:p w14:paraId="2B23F51A" w14:textId="77777777" w:rsidR="00F01FEB" w:rsidRDefault="00AE5F07" w:rsidP="00AB58E4">
      <w:pPr>
        <w:spacing w:after="0" w:line="240" w:lineRule="auto"/>
        <w:ind w:left="2540" w:right="2070" w:hanging="11"/>
        <w:jc w:val="center"/>
        <w:rPr>
          <w:rFonts w:ascii="Times New Roman" w:eastAsia="Times New Roman" w:hAnsi="Times New Roman" w:cs="Times New Roman"/>
          <w:b/>
          <w:lang w:val="fr-CA"/>
        </w:rPr>
      </w:pPr>
      <w:r w:rsidRPr="00AE5F07">
        <w:rPr>
          <w:rFonts w:ascii="Times New Roman" w:eastAsia="Times New Roman" w:hAnsi="Times New Roman" w:cs="Times New Roman"/>
          <w:b/>
          <w:lang w:val="fr-CA"/>
        </w:rPr>
        <w:t xml:space="preserve">AVIS DE MOTION EN AUTORISATION D’APPEL </w:t>
      </w:r>
    </w:p>
    <w:p w14:paraId="38A9D1EA" w14:textId="76E4A966" w:rsidR="002C6111" w:rsidRDefault="00AE5F07" w:rsidP="00AB58E4">
      <w:pPr>
        <w:spacing w:after="0" w:line="240" w:lineRule="auto"/>
        <w:ind w:left="2540" w:right="2070" w:hanging="11"/>
        <w:jc w:val="center"/>
        <w:rPr>
          <w:rFonts w:ascii="Times New Roman" w:eastAsia="Times New Roman" w:hAnsi="Times New Roman" w:cs="Times New Roman"/>
          <w:b/>
          <w:lang w:val="fr-CA"/>
        </w:rPr>
      </w:pPr>
      <w:r w:rsidRPr="00AE5F07">
        <w:rPr>
          <w:rFonts w:ascii="Times New Roman" w:eastAsia="Times New Roman" w:hAnsi="Times New Roman" w:cs="Times New Roman"/>
          <w:b/>
          <w:lang w:val="fr-CA"/>
        </w:rPr>
        <w:t>(FORMULE 62A)</w:t>
      </w:r>
    </w:p>
    <w:p w14:paraId="3D43B440" w14:textId="6966E160" w:rsidR="00AB58E4" w:rsidRDefault="00AB58E4" w:rsidP="00AB58E4">
      <w:pPr>
        <w:spacing w:after="0" w:line="240" w:lineRule="auto"/>
        <w:ind w:left="2540" w:right="2070" w:hanging="11"/>
        <w:jc w:val="center"/>
        <w:rPr>
          <w:rFonts w:ascii="Times New Roman" w:eastAsia="Times New Roman" w:hAnsi="Times New Roman" w:cs="Times New Roman"/>
          <w:b/>
          <w:lang w:val="fr-CA"/>
        </w:rPr>
      </w:pPr>
    </w:p>
    <w:p w14:paraId="2AE10FD2" w14:textId="77777777" w:rsidR="00AB58E4" w:rsidRPr="00AE5F07" w:rsidRDefault="00AB58E4" w:rsidP="00AB58E4">
      <w:pPr>
        <w:spacing w:after="0" w:line="240" w:lineRule="auto"/>
        <w:ind w:left="2540" w:right="2070" w:hanging="11"/>
        <w:jc w:val="center"/>
        <w:rPr>
          <w:lang w:val="fr-CA"/>
        </w:rPr>
      </w:pPr>
    </w:p>
    <w:p w14:paraId="65E6C38A" w14:textId="2B1DD50F" w:rsidR="002C6111" w:rsidRPr="00AE5F07" w:rsidRDefault="00AE5F07" w:rsidP="008250FE">
      <w:pPr>
        <w:spacing w:after="242" w:line="228" w:lineRule="auto"/>
        <w:ind w:left="397" w:right="227" w:firstLine="221"/>
        <w:jc w:val="both"/>
        <w:rPr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 xml:space="preserve">Le . . . . . .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 xml:space="preserve"> 20 . . . . à . . . .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h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 xml:space="preserve"> . . . ., le demandeur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lang w:val="fr-CA"/>
        </w:rPr>
        <w:t>) demandera, en application de la règle 62.03, au juge en chef du Nouveau-Brunswick ou à tout autre juge de la Cour d’appel que désigne le juge en chef, au Palais de Justice situé sur la rue Queen, à Fredericton (N.-B.), la permission d’appeler de l’ordonnance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de la décision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de . . . . . . . . . . le juge . . . . . . . . . . en date du . . . . . . . . . . 20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>, (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indiquer les mesures de redressement sollicitées, toute prétention d’irrégularité ou toute objection qui sera soulevée, en précisant les motifs d’appel et toutes les </w:t>
      </w:r>
      <w:proofErr w:type="spellStart"/>
      <w:r w:rsidR="00AB58E4">
        <w:rPr>
          <w:rFonts w:ascii="Times New Roman" w:eastAsia="Times New Roman" w:hAnsi="Times New Roman" w:cs="Times New Roman"/>
          <w:i/>
          <w:lang w:val="fr-CA"/>
        </w:rPr>
        <w:t>dis-</w:t>
      </w:r>
      <w:r w:rsidRPr="00AE5F07">
        <w:rPr>
          <w:rFonts w:ascii="Times New Roman" w:eastAsia="Times New Roman" w:hAnsi="Times New Roman" w:cs="Times New Roman"/>
          <w:i/>
          <w:lang w:val="fr-CA"/>
        </w:rPr>
        <w:t>positions</w:t>
      </w:r>
      <w:proofErr w:type="spellEnd"/>
      <w:r w:rsidRPr="00AE5F07">
        <w:rPr>
          <w:rFonts w:ascii="Times New Roman" w:eastAsia="Times New Roman" w:hAnsi="Times New Roman" w:cs="Times New Roman"/>
          <w:i/>
          <w:lang w:val="fr-CA"/>
        </w:rPr>
        <w:t xml:space="preserve"> législatives ou règles qui seront invoquées</w:t>
      </w:r>
      <w:r w:rsidRPr="00AE5F07">
        <w:rPr>
          <w:rFonts w:ascii="Times New Roman" w:eastAsia="Times New Roman" w:hAnsi="Times New Roman" w:cs="Times New Roman"/>
          <w:lang w:val="fr-CA"/>
        </w:rPr>
        <w:t>);</w:t>
      </w:r>
    </w:p>
    <w:p w14:paraId="60E8748D" w14:textId="7448C2DF" w:rsidR="002C6111" w:rsidRPr="00D76015" w:rsidRDefault="00AE5F07" w:rsidP="008250FE">
      <w:pPr>
        <w:spacing w:after="479" w:line="228" w:lineRule="auto"/>
        <w:ind w:left="397" w:right="227" w:firstLine="221"/>
        <w:jc w:val="both"/>
        <w:rPr>
          <w:rFonts w:ascii="Times New Roman" w:eastAsia="Times New Roman" w:hAnsi="Times New Roman" w:cs="Times New Roman"/>
          <w:i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(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Lorsque le demandeur </w:t>
      </w:r>
      <w:r w:rsidRPr="00AE5F07">
        <w:rPr>
          <w:rFonts w:ascii="Times New Roman" w:eastAsia="Times New Roman" w:hAnsi="Times New Roman" w:cs="Times New Roman"/>
          <w:lang w:val="fr-CA"/>
        </w:rPr>
        <w:t>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lang w:val="fr-CA"/>
        </w:rPr>
        <w:t>)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 demande la permission d’appeler d’une ordonnance ou d’une</w:t>
      </w:r>
      <w:r w:rsidR="00BD7EB1">
        <w:rPr>
          <w:rFonts w:ascii="Times New Roman" w:eastAsia="Times New Roman" w:hAnsi="Times New Roman" w:cs="Times New Roman"/>
          <w:i/>
          <w:lang w:val="fr-CA"/>
        </w:rPr>
        <w:t xml:space="preserve"> </w:t>
      </w:r>
      <w:r w:rsidR="00E84954">
        <w:rPr>
          <w:rFonts w:ascii="Times New Roman" w:eastAsia="Times New Roman" w:hAnsi="Times New Roman" w:cs="Times New Roman"/>
          <w:i/>
          <w:lang w:val="fr-CA"/>
        </w:rPr>
        <w:t>d</w:t>
      </w:r>
      <w:r w:rsidRPr="00AE5F07">
        <w:rPr>
          <w:rFonts w:ascii="Times New Roman" w:eastAsia="Times New Roman" w:hAnsi="Times New Roman" w:cs="Times New Roman"/>
          <w:i/>
          <w:lang w:val="fr-CA"/>
        </w:rPr>
        <w:t>écision</w:t>
      </w:r>
      <w:r w:rsidR="00E84954">
        <w:rPr>
          <w:rFonts w:ascii="Times New Roman" w:eastAsia="Times New Roman" w:hAnsi="Times New Roman" w:cs="Times New Roman"/>
          <w:i/>
          <w:lang w:val="fr-CA"/>
        </w:rPr>
        <w:t xml:space="preserve"> in- </w:t>
      </w:r>
      <w:proofErr w:type="spellStart"/>
      <w:r w:rsidR="00E84954">
        <w:rPr>
          <w:rFonts w:ascii="Times New Roman" w:eastAsia="Times New Roman" w:hAnsi="Times New Roman" w:cs="Times New Roman"/>
          <w:i/>
          <w:lang w:val="fr-CA"/>
        </w:rPr>
        <w:t>ter</w:t>
      </w:r>
      <w:r w:rsidRPr="00AE5F07">
        <w:rPr>
          <w:rFonts w:ascii="Times New Roman" w:eastAsia="Times New Roman" w:hAnsi="Times New Roman" w:cs="Times New Roman"/>
          <w:i/>
          <w:lang w:val="fr-CA"/>
        </w:rPr>
        <w:t>locutoire</w:t>
      </w:r>
      <w:proofErr w:type="spellEnd"/>
      <w:r w:rsidRPr="00AE5F07">
        <w:rPr>
          <w:rFonts w:ascii="Times New Roman" w:eastAsia="Times New Roman" w:hAnsi="Times New Roman" w:cs="Times New Roman"/>
          <w:lang w:val="fr-CA"/>
        </w:rPr>
        <w:t>) Le demandeur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lang w:val="fr-CA"/>
        </w:rPr>
        <w:t>) demandera dans l’alternative une prolongation du délai pour émettre et signifier un avis d’appel au cas où le juge qui entend la motion déciderait que l’ordonnance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la décision</w:t>
      </w:r>
      <w:r w:rsidRPr="00AE5F07">
        <w:rPr>
          <w:rFonts w:ascii="Times New Roman" w:eastAsia="Times New Roman" w:hAnsi="Times New Roman" w:cs="Times New Roman"/>
          <w:lang w:val="fr-CA"/>
        </w:rPr>
        <w:t>) n’est pas interlocutoire;</w:t>
      </w:r>
    </w:p>
    <w:p w14:paraId="50CC22E2" w14:textId="78AC0973" w:rsidR="002C6111" w:rsidRPr="00AE5F07" w:rsidRDefault="00AE5F07" w:rsidP="008250FE">
      <w:pPr>
        <w:spacing w:after="482" w:line="228" w:lineRule="auto"/>
        <w:ind w:left="397" w:right="227" w:firstLine="221"/>
        <w:jc w:val="both"/>
        <w:rPr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Voici la liste des affidavits ou autres preuves littérales qui seront présentés à l’audition de la motion : (</w:t>
      </w:r>
      <w:r w:rsidRPr="00AE5F07">
        <w:rPr>
          <w:rFonts w:ascii="Times New Roman" w:eastAsia="Times New Roman" w:hAnsi="Times New Roman" w:cs="Times New Roman"/>
          <w:i/>
          <w:lang w:val="fr-CA"/>
        </w:rPr>
        <w:t>Dresser la liste des affidavits ou autres preuves littérales qui seront utilisés</w:t>
      </w:r>
      <w:r w:rsidRPr="00AE5F07">
        <w:rPr>
          <w:rFonts w:ascii="Times New Roman" w:eastAsia="Times New Roman" w:hAnsi="Times New Roman" w:cs="Times New Roman"/>
          <w:lang w:val="fr-CA"/>
        </w:rPr>
        <w:t>.)</w:t>
      </w:r>
    </w:p>
    <w:p w14:paraId="426313E4" w14:textId="7D687746" w:rsidR="002C6111" w:rsidRDefault="00AE5F07" w:rsidP="005369CB">
      <w:pPr>
        <w:spacing w:after="0" w:line="228" w:lineRule="auto"/>
        <w:ind w:right="227" w:firstLine="397"/>
        <w:jc w:val="both"/>
        <w:rPr>
          <w:rFonts w:ascii="Times New Roman" w:eastAsia="Times New Roman" w:hAnsi="Times New Roman" w:cs="Times New Roman"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 xml:space="preserve">FAIT à . . . . . . . . . . . . . . . . . . , le . . . . . . . . . . . . . . . . . . . 20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. . . .</w:t>
      </w:r>
      <w:proofErr w:type="gramEnd"/>
    </w:p>
    <w:p w14:paraId="2BB4C645" w14:textId="5127190F" w:rsidR="005369CB" w:rsidRDefault="005369CB" w:rsidP="005369CB">
      <w:pPr>
        <w:spacing w:after="0" w:line="228" w:lineRule="auto"/>
        <w:ind w:right="227" w:firstLine="397"/>
        <w:jc w:val="both"/>
        <w:rPr>
          <w:rFonts w:ascii="Times New Roman" w:eastAsia="Times New Roman" w:hAnsi="Times New Roman" w:cs="Times New Roman"/>
          <w:lang w:val="fr-CA"/>
        </w:rPr>
      </w:pPr>
    </w:p>
    <w:p w14:paraId="63F9460A" w14:textId="6D00D58E" w:rsidR="005369CB" w:rsidRDefault="005369CB" w:rsidP="005369CB">
      <w:pPr>
        <w:spacing w:after="0" w:line="228" w:lineRule="auto"/>
        <w:ind w:right="227" w:firstLine="397"/>
        <w:jc w:val="both"/>
        <w:rPr>
          <w:rFonts w:ascii="Times New Roman" w:eastAsia="Times New Roman" w:hAnsi="Times New Roman" w:cs="Times New Roman"/>
          <w:lang w:val="fr-CA"/>
        </w:rPr>
      </w:pPr>
    </w:p>
    <w:p w14:paraId="13D34ED4" w14:textId="77777777" w:rsidR="005369CB" w:rsidRPr="00AE5F07" w:rsidRDefault="005369CB" w:rsidP="005369CB">
      <w:pPr>
        <w:spacing w:after="0" w:line="228" w:lineRule="auto"/>
        <w:ind w:right="227" w:firstLine="397"/>
        <w:jc w:val="both"/>
        <w:rPr>
          <w:lang w:val="fr-CA"/>
        </w:rPr>
      </w:pPr>
    </w:p>
    <w:p w14:paraId="6DFED8DC" w14:textId="4439BE32" w:rsidR="002C6111" w:rsidRPr="00AE5F07" w:rsidRDefault="000D6071" w:rsidP="00FE784A">
      <w:pPr>
        <w:spacing w:after="0"/>
        <w:ind w:left="397" w:right="227" w:firstLine="221"/>
        <w:jc w:val="center"/>
        <w:rPr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 xml:space="preserve">          </w:t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 w:rsidR="00841DF9">
        <w:rPr>
          <w:rFonts w:ascii="Times New Roman" w:eastAsia="Times New Roman" w:hAnsi="Times New Roman" w:cs="Times New Roman"/>
          <w:lang w:val="fr-CA"/>
        </w:rPr>
        <w:tab/>
      </w:r>
      <w:r>
        <w:rPr>
          <w:rFonts w:ascii="Times New Roman" w:eastAsia="Times New Roman" w:hAnsi="Times New Roman" w:cs="Times New Roman"/>
          <w:lang w:val="fr-CA"/>
        </w:rPr>
        <w:t>.</w:t>
      </w:r>
      <w:r w:rsidR="00AE5F07" w:rsidRPr="00AE5F07">
        <w:rPr>
          <w:rFonts w:ascii="Times New Roman" w:eastAsia="Times New Roman" w:hAnsi="Times New Roman" w:cs="Times New Roman"/>
          <w:lang w:val="fr-CA"/>
        </w:rPr>
        <w:t xml:space="preserve">. . . . . . . . . . . . . . . . . . . . . . . . . . . . . . . . . . </w:t>
      </w:r>
    </w:p>
    <w:p w14:paraId="1B766835" w14:textId="77777777" w:rsidR="000D6071" w:rsidRDefault="00AE5F07" w:rsidP="00841DF9">
      <w:pPr>
        <w:spacing w:after="0" w:line="240" w:lineRule="auto"/>
        <w:ind w:left="5686" w:right="227" w:firstLine="720"/>
        <w:rPr>
          <w:rFonts w:ascii="Times New Roman" w:eastAsia="Times New Roman" w:hAnsi="Times New Roman" w:cs="Times New Roman"/>
          <w:sz w:val="18"/>
          <w:lang w:val="fr-CA"/>
        </w:rPr>
      </w:pPr>
      <w:r w:rsidRPr="00AE5F07">
        <w:rPr>
          <w:rFonts w:ascii="Times New Roman" w:eastAsia="Times New Roman" w:hAnsi="Times New Roman" w:cs="Times New Roman"/>
          <w:sz w:val="18"/>
          <w:lang w:val="fr-CA"/>
        </w:rPr>
        <w:t>Avocat du demandeur (</w:t>
      </w:r>
      <w:r w:rsidRPr="00AE5F07">
        <w:rPr>
          <w:rFonts w:ascii="Times New Roman" w:eastAsia="Times New Roman" w:hAnsi="Times New Roman" w:cs="Times New Roman"/>
          <w:i/>
          <w:sz w:val="18"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sz w:val="18"/>
          <w:lang w:val="fr-CA"/>
        </w:rPr>
        <w:t xml:space="preserve">) </w:t>
      </w:r>
    </w:p>
    <w:p w14:paraId="64D25140" w14:textId="4E5B8711" w:rsidR="002C6111" w:rsidRDefault="00AE5F07" w:rsidP="00841DF9">
      <w:pPr>
        <w:spacing w:after="0" w:line="240" w:lineRule="auto"/>
        <w:ind w:left="6406" w:right="227"/>
        <w:rPr>
          <w:rFonts w:ascii="Times New Roman" w:eastAsia="Times New Roman" w:hAnsi="Times New Roman" w:cs="Times New Roman"/>
          <w:sz w:val="18"/>
          <w:lang w:val="fr-CA"/>
        </w:rPr>
      </w:pPr>
      <w:r w:rsidRPr="00AE5F07">
        <w:rPr>
          <w:rFonts w:ascii="Times New Roman" w:eastAsia="Times New Roman" w:hAnsi="Times New Roman" w:cs="Times New Roman"/>
          <w:sz w:val="18"/>
          <w:lang w:val="fr-CA"/>
        </w:rPr>
        <w:t>(</w:t>
      </w:r>
      <w:proofErr w:type="gramStart"/>
      <w:r w:rsidRPr="00AE5F07">
        <w:rPr>
          <w:rFonts w:ascii="Times New Roman" w:eastAsia="Times New Roman" w:hAnsi="Times New Roman" w:cs="Times New Roman"/>
          <w:i/>
          <w:sz w:val="18"/>
          <w:lang w:val="fr-CA"/>
        </w:rPr>
        <w:t>ou</w:t>
      </w:r>
      <w:proofErr w:type="gramEnd"/>
      <w:r w:rsidRPr="00AE5F07">
        <w:rPr>
          <w:rFonts w:ascii="Times New Roman" w:eastAsia="Times New Roman" w:hAnsi="Times New Roman" w:cs="Times New Roman"/>
          <w:sz w:val="18"/>
          <w:lang w:val="fr-CA"/>
        </w:rPr>
        <w:t xml:space="preserve"> demandeur (</w:t>
      </w:r>
      <w:r w:rsidRPr="00AE5F07">
        <w:rPr>
          <w:rFonts w:ascii="Times New Roman" w:eastAsia="Times New Roman" w:hAnsi="Times New Roman" w:cs="Times New Roman"/>
          <w:i/>
          <w:sz w:val="18"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sz w:val="18"/>
          <w:lang w:val="fr-CA"/>
        </w:rPr>
        <w:t xml:space="preserve">), </w:t>
      </w:r>
      <w:r w:rsidRPr="00AE5F07">
        <w:rPr>
          <w:rFonts w:ascii="Times New Roman" w:eastAsia="Times New Roman" w:hAnsi="Times New Roman" w:cs="Times New Roman"/>
          <w:i/>
          <w:sz w:val="18"/>
          <w:lang w:val="fr-CA"/>
        </w:rPr>
        <w:t>s’il n’est pas représenté par un avocat</w:t>
      </w:r>
      <w:r w:rsidRPr="00AE5F07">
        <w:rPr>
          <w:rFonts w:ascii="Times New Roman" w:eastAsia="Times New Roman" w:hAnsi="Times New Roman" w:cs="Times New Roman"/>
          <w:sz w:val="18"/>
          <w:lang w:val="fr-CA"/>
        </w:rPr>
        <w:t>)</w:t>
      </w:r>
    </w:p>
    <w:p w14:paraId="28596FF8" w14:textId="77777777" w:rsidR="000D6071" w:rsidRPr="00AE5F07" w:rsidRDefault="000D6071" w:rsidP="00FE784A">
      <w:pPr>
        <w:spacing w:after="0" w:line="240" w:lineRule="auto"/>
        <w:ind w:left="397" w:right="227" w:firstLine="221"/>
        <w:rPr>
          <w:lang w:val="fr-CA"/>
        </w:rPr>
      </w:pPr>
    </w:p>
    <w:p w14:paraId="548BAF23" w14:textId="2811AA76" w:rsidR="005F07D3" w:rsidRDefault="00AE5F07" w:rsidP="005F07D3">
      <w:pPr>
        <w:spacing w:after="0"/>
        <w:ind w:left="397" w:right="227"/>
        <w:jc w:val="both"/>
        <w:rPr>
          <w:rFonts w:ascii="Times New Roman" w:eastAsia="Times New Roman" w:hAnsi="Times New Roman" w:cs="Times New Roman"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Nom de l’avocat du demandeur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selon le cas</w:t>
      </w:r>
      <w:r w:rsidRPr="00AE5F07">
        <w:rPr>
          <w:rFonts w:ascii="Times New Roman" w:eastAsia="Times New Roman" w:hAnsi="Times New Roman" w:cs="Times New Roman"/>
          <w:lang w:val="fr-CA"/>
        </w:rPr>
        <w:t>) (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ou </w:t>
      </w:r>
      <w:r w:rsidRPr="00AE5F07">
        <w:rPr>
          <w:rFonts w:ascii="Times New Roman" w:eastAsia="Times New Roman" w:hAnsi="Times New Roman" w:cs="Times New Roman"/>
          <w:lang w:val="fr-CA"/>
        </w:rPr>
        <w:t>nom du demandeur (</w:t>
      </w:r>
      <w:r w:rsidRPr="00AE5F07">
        <w:rPr>
          <w:rFonts w:ascii="Times New Roman" w:eastAsia="Times New Roman" w:hAnsi="Times New Roman" w:cs="Times New Roman"/>
          <w:i/>
          <w:lang w:val="fr-CA"/>
        </w:rPr>
        <w:t>ou selon cas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), </w:t>
      </w:r>
      <w:r w:rsidRPr="00AE5F07">
        <w:rPr>
          <w:rFonts w:ascii="Times New Roman" w:eastAsia="Times New Roman" w:hAnsi="Times New Roman" w:cs="Times New Roman"/>
          <w:i/>
          <w:lang w:val="fr-CA"/>
        </w:rPr>
        <w:t>s’il n’est pas représenté par</w:t>
      </w:r>
      <w:r w:rsidR="005F07D3">
        <w:rPr>
          <w:rFonts w:ascii="Times New Roman" w:eastAsia="Times New Roman" w:hAnsi="Times New Roman" w:cs="Times New Roman"/>
          <w:i/>
          <w:lang w:val="fr-CA"/>
        </w:rPr>
        <w:t xml:space="preserve"> </w:t>
      </w:r>
      <w:r w:rsidRPr="00AE5F07">
        <w:rPr>
          <w:rFonts w:ascii="Times New Roman" w:eastAsia="Times New Roman" w:hAnsi="Times New Roman" w:cs="Times New Roman"/>
          <w:i/>
          <w:lang w:val="fr-CA"/>
        </w:rPr>
        <w:t>un avocat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:  . . .. . . . . . . . . . . . . . . . . . . . . . </w:t>
      </w:r>
      <w:r w:rsidR="002B4548">
        <w:rPr>
          <w:rFonts w:ascii="Times New Roman" w:eastAsia="Times New Roman" w:hAnsi="Times New Roman" w:cs="Times New Roman"/>
          <w:lang w:val="fr-CA"/>
        </w:rPr>
        <w:t>.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 . . . . . . . . . . . . . . . . . . . . . . . . . . . . . . . . . . . . . . . . . . . . . . . . . . . . </w:t>
      </w:r>
      <w:proofErr w:type="gramStart"/>
      <w:r w:rsidR="005F07D3" w:rsidRPr="00AE5F07">
        <w:rPr>
          <w:rFonts w:ascii="Times New Roman" w:eastAsia="Times New Roman" w:hAnsi="Times New Roman" w:cs="Times New Roman"/>
          <w:lang w:val="fr-CA"/>
        </w:rPr>
        <w:t>. . .</w:t>
      </w:r>
      <w:r w:rsidR="005F07D3">
        <w:rPr>
          <w:rFonts w:ascii="Times New Roman" w:eastAsia="Times New Roman" w:hAnsi="Times New Roman" w:cs="Times New Roman"/>
          <w:lang w:val="fr-CA"/>
        </w:rPr>
        <w:t xml:space="preserve"> </w:t>
      </w:r>
      <w:r w:rsidR="005F07D3" w:rsidRPr="002B4548">
        <w:rPr>
          <w:rFonts w:ascii="Times New Roman" w:eastAsia="Times New Roman" w:hAnsi="Times New Roman" w:cs="Times New Roman"/>
          <w:lang w:val="fr-CA"/>
        </w:rPr>
        <w:t>.</w:t>
      </w:r>
      <w:proofErr w:type="gramEnd"/>
      <w:r w:rsidR="005F07D3" w:rsidRPr="002B4548">
        <w:rPr>
          <w:rFonts w:ascii="Times New Roman" w:eastAsia="Times New Roman" w:hAnsi="Times New Roman" w:cs="Times New Roman"/>
          <w:lang w:val="fr-CA"/>
        </w:rPr>
        <w:t xml:space="preserve"> .</w:t>
      </w:r>
      <w:r w:rsidR="005F07D3" w:rsidRPr="005F07D3">
        <w:rPr>
          <w:rFonts w:ascii="Times New Roman" w:eastAsia="Times New Roman" w:hAnsi="Times New Roman" w:cs="Times New Roman"/>
          <w:lang w:val="fr-CA"/>
        </w:rPr>
        <w:t xml:space="preserve"> </w:t>
      </w:r>
      <w:r w:rsidR="005F07D3" w:rsidRPr="00AE5F07">
        <w:rPr>
          <w:rFonts w:ascii="Times New Roman" w:eastAsia="Times New Roman" w:hAnsi="Times New Roman" w:cs="Times New Roman"/>
          <w:lang w:val="fr-CA"/>
        </w:rPr>
        <w:t>.</w:t>
      </w:r>
    </w:p>
    <w:p w14:paraId="0FC9F862" w14:textId="5120D255" w:rsidR="00FE784A" w:rsidRDefault="00AE5F07" w:rsidP="005F07D3">
      <w:pPr>
        <w:spacing w:after="0"/>
        <w:ind w:left="397" w:right="227"/>
        <w:jc w:val="both"/>
        <w:rPr>
          <w:rFonts w:ascii="Times New Roman" w:eastAsia="Times New Roman" w:hAnsi="Times New Roman" w:cs="Times New Roman"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Raison sociale de l’avocat (</w:t>
      </w:r>
      <w:r w:rsidRPr="00AE5F07">
        <w:rPr>
          <w:rFonts w:ascii="Times New Roman" w:eastAsia="Times New Roman" w:hAnsi="Times New Roman" w:cs="Times New Roman"/>
          <w:i/>
          <w:lang w:val="fr-CA"/>
        </w:rPr>
        <w:t>s’il y a lieu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: . . . . . . . . . . . . . . . . . . . . . . . . . . . . . . . . . . . . . . . . . . . . . . . . . . . . . . . . . Adresse aux fins de signification :  . . . . . . . . . . . . . . . . . . . . . . . . . . . . . . . . . . . . . . . . . . . . . . . . . . . . . . . . . . . . . . . </w:t>
      </w:r>
      <w:r w:rsidRPr="002B4548">
        <w:rPr>
          <w:rFonts w:ascii="Times New Roman" w:eastAsia="Times New Roman" w:hAnsi="Times New Roman" w:cs="Times New Roman"/>
          <w:lang w:val="fr-CA"/>
        </w:rPr>
        <w:t>Adresse électronique (</w:t>
      </w:r>
      <w:r w:rsidRPr="002B4548">
        <w:rPr>
          <w:rFonts w:ascii="Times New Roman" w:eastAsia="Times New Roman" w:hAnsi="Times New Roman" w:cs="Times New Roman"/>
          <w:i/>
          <w:lang w:val="fr-CA"/>
        </w:rPr>
        <w:t>le cas échéant</w:t>
      </w:r>
      <w:r w:rsidRPr="002B4548">
        <w:rPr>
          <w:rFonts w:ascii="Times New Roman" w:eastAsia="Times New Roman" w:hAnsi="Times New Roman" w:cs="Times New Roman"/>
          <w:lang w:val="fr-CA"/>
        </w:rPr>
        <w:t xml:space="preserve">) :  . . . . . . . . . . . . . . . . . . . . . . . . . . . . . . . . . . . . . . . . . . . . . . . . . . . . . . . . . . . . Numéro de téléphone :  . . . . . . . . . . . . . . . . . . . . . . . . . .  . . . . . . . . . . . . . . . . . . . . . . . . . . . . . . . . . . . . . . . . . . . . . . </w:t>
      </w:r>
      <w:r w:rsidRPr="00AE5F07">
        <w:rPr>
          <w:rFonts w:ascii="Times New Roman" w:eastAsia="Times New Roman" w:hAnsi="Times New Roman" w:cs="Times New Roman"/>
          <w:lang w:val="fr-CA"/>
        </w:rPr>
        <w:t>Numéro de télécopieur (</w:t>
      </w:r>
      <w:r w:rsidRPr="00AE5F07">
        <w:rPr>
          <w:rFonts w:ascii="Times New Roman" w:eastAsia="Times New Roman" w:hAnsi="Times New Roman" w:cs="Times New Roman"/>
          <w:i/>
          <w:lang w:val="fr-CA"/>
        </w:rPr>
        <w:t>le cas échéant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: . . . . . .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>. . . . . . . . . . . . . . . . . . . . . . . . . . . . . . . . . . . . . . . . . . . . . . . . .</w:t>
      </w:r>
      <w:r w:rsidR="00841DF9">
        <w:rPr>
          <w:rFonts w:ascii="Times New Roman" w:eastAsia="Times New Roman" w:hAnsi="Times New Roman" w:cs="Times New Roman"/>
          <w:lang w:val="fr-CA"/>
        </w:rPr>
        <w:t xml:space="preserve"> </w:t>
      </w:r>
      <w:r w:rsidR="00841DF9" w:rsidRPr="002B4548">
        <w:rPr>
          <w:rFonts w:ascii="Times New Roman" w:eastAsia="Times New Roman" w:hAnsi="Times New Roman" w:cs="Times New Roman"/>
          <w:lang w:val="fr-CA"/>
        </w:rPr>
        <w:t>. .</w:t>
      </w:r>
      <w:r w:rsidR="00841DF9" w:rsidRPr="00841DF9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10B944E9" w14:textId="18648D74" w:rsidR="00FE784A" w:rsidRDefault="00FE784A" w:rsidP="00FE784A">
      <w:pPr>
        <w:spacing w:after="0"/>
        <w:ind w:left="414" w:right="465" w:hanging="11"/>
        <w:jc w:val="both"/>
        <w:rPr>
          <w:rFonts w:ascii="Times New Roman" w:eastAsia="Times New Roman" w:hAnsi="Times New Roman" w:cs="Times New Roman"/>
          <w:lang w:val="fr-CA"/>
        </w:rPr>
      </w:pPr>
    </w:p>
    <w:p w14:paraId="64935655" w14:textId="0363E7C1" w:rsidR="00841DF9" w:rsidRDefault="00841DF9" w:rsidP="00FE784A">
      <w:pPr>
        <w:spacing w:after="0"/>
        <w:ind w:left="414" w:right="465" w:hanging="11"/>
        <w:jc w:val="both"/>
        <w:rPr>
          <w:rFonts w:ascii="Times New Roman" w:eastAsia="Times New Roman" w:hAnsi="Times New Roman" w:cs="Times New Roman"/>
          <w:lang w:val="fr-CA"/>
        </w:rPr>
      </w:pPr>
    </w:p>
    <w:p w14:paraId="1EAFB6B3" w14:textId="77777777" w:rsidR="00841DF9" w:rsidRDefault="00841DF9" w:rsidP="00FE784A">
      <w:pPr>
        <w:spacing w:after="0"/>
        <w:ind w:left="414" w:right="465" w:hanging="11"/>
        <w:jc w:val="both"/>
        <w:rPr>
          <w:rFonts w:ascii="Times New Roman" w:eastAsia="Times New Roman" w:hAnsi="Times New Roman" w:cs="Times New Roman"/>
          <w:lang w:val="fr-CA"/>
        </w:rPr>
      </w:pPr>
    </w:p>
    <w:p w14:paraId="3492BD5F" w14:textId="2E9566BA" w:rsidR="00FE784A" w:rsidRPr="00AE5F07" w:rsidRDefault="00FE784A" w:rsidP="00FE784A">
      <w:pPr>
        <w:spacing w:after="0"/>
        <w:ind w:left="414" w:right="465" w:hanging="11"/>
        <w:jc w:val="both"/>
        <w:rPr>
          <w:lang w:val="fr-CA"/>
        </w:rPr>
      </w:pPr>
    </w:p>
    <w:p w14:paraId="2A66AAEB" w14:textId="7BB069B4" w:rsidR="002C6111" w:rsidRDefault="00AE5F07" w:rsidP="000D6071">
      <w:pPr>
        <w:spacing w:after="383"/>
        <w:ind w:left="410" w:right="467" w:hanging="10"/>
        <w:jc w:val="center"/>
        <w:rPr>
          <w:rFonts w:ascii="Times New Roman" w:eastAsia="Times New Roman" w:hAnsi="Times New Roman" w:cs="Times New Roman"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1</w:t>
      </w:r>
    </w:p>
    <w:p w14:paraId="39D41634" w14:textId="77777777" w:rsidR="00841DF9" w:rsidRPr="00AE5F07" w:rsidRDefault="00841DF9" w:rsidP="000D6071">
      <w:pPr>
        <w:spacing w:after="383"/>
        <w:ind w:left="410" w:right="467" w:hanging="10"/>
        <w:jc w:val="center"/>
        <w:rPr>
          <w:lang w:val="fr-CA"/>
        </w:rPr>
      </w:pPr>
    </w:p>
    <w:p w14:paraId="3FB7C2BA" w14:textId="77777777" w:rsidR="002C6111" w:rsidRPr="00AE5F07" w:rsidRDefault="00AE5F07" w:rsidP="004A36F5">
      <w:pPr>
        <w:spacing w:after="441" w:line="265" w:lineRule="auto"/>
        <w:ind w:left="502" w:right="467" w:hanging="10"/>
        <w:jc w:val="center"/>
        <w:rPr>
          <w:lang w:val="fr-CA"/>
        </w:rPr>
      </w:pPr>
      <w:r w:rsidRPr="00AE5F07">
        <w:rPr>
          <w:rFonts w:ascii="Times New Roman" w:eastAsia="Times New Roman" w:hAnsi="Times New Roman" w:cs="Times New Roman"/>
          <w:i/>
          <w:lang w:val="fr-CA"/>
        </w:rPr>
        <w:t>Formule 62A</w:t>
      </w:r>
    </w:p>
    <w:p w14:paraId="33DA91FB" w14:textId="480EB78A" w:rsidR="006B436E" w:rsidRDefault="00AE5F07" w:rsidP="006B436E">
      <w:pPr>
        <w:spacing w:after="101" w:line="228" w:lineRule="auto"/>
        <w:ind w:left="397" w:right="227"/>
        <w:jc w:val="both"/>
        <w:rPr>
          <w:rFonts w:ascii="Times New Roman" w:eastAsia="Times New Roman" w:hAnsi="Times New Roman" w:cs="Times New Roman"/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Nom de l’avocat de toute autre partie (</w:t>
      </w:r>
      <w:r w:rsidRPr="00AE5F07">
        <w:rPr>
          <w:rFonts w:ascii="Times New Roman" w:eastAsia="Times New Roman" w:hAnsi="Times New Roman" w:cs="Times New Roman"/>
          <w:i/>
          <w:lang w:val="fr-CA"/>
        </w:rPr>
        <w:t xml:space="preserve">ou 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nom de toute autre partie, </w:t>
      </w:r>
      <w:r w:rsidRPr="00AE5F07">
        <w:rPr>
          <w:rFonts w:ascii="Times New Roman" w:eastAsia="Times New Roman" w:hAnsi="Times New Roman" w:cs="Times New Roman"/>
          <w:i/>
          <w:lang w:val="fr-CA"/>
        </w:rPr>
        <w:t>si elle n’est pas représentée par un avocat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:  . . . . . . . . . . . . . . . . . . . . . . . . . . . . . . . . . . . . . . . . . . . . . . . . . . . . . . . . . . . . . . . . . . . . . . . . . . .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proofErr w:type="gramStart"/>
      <w:r w:rsidR="006B436E" w:rsidRPr="00AE5F07">
        <w:rPr>
          <w:rFonts w:ascii="Times New Roman" w:eastAsia="Times New Roman" w:hAnsi="Times New Roman" w:cs="Times New Roman"/>
          <w:lang w:val="fr-CA"/>
        </w:rPr>
        <w:t>. . .</w:t>
      </w:r>
      <w:r w:rsidR="006B436E" w:rsidRPr="006B436E">
        <w:rPr>
          <w:rFonts w:ascii="Times New Roman" w:eastAsia="Times New Roman" w:hAnsi="Times New Roman" w:cs="Times New Roman"/>
          <w:lang w:val="fr-CA"/>
        </w:rPr>
        <w:t xml:space="preserve">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</w:t>
      </w:r>
      <w:proofErr w:type="gramEnd"/>
      <w:r w:rsidR="006B436E" w:rsidRPr="00AE5F07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07B62CBF" w14:textId="490BAA04" w:rsidR="002C6111" w:rsidRPr="002B4548" w:rsidRDefault="00AE5F07" w:rsidP="006B436E">
      <w:pPr>
        <w:spacing w:after="101" w:line="228" w:lineRule="auto"/>
        <w:ind w:left="397" w:right="227"/>
        <w:jc w:val="both"/>
        <w:rPr>
          <w:lang w:val="fr-CA"/>
        </w:rPr>
      </w:pPr>
      <w:r w:rsidRPr="00AE5F07">
        <w:rPr>
          <w:rFonts w:ascii="Times New Roman" w:eastAsia="Times New Roman" w:hAnsi="Times New Roman" w:cs="Times New Roman"/>
          <w:lang w:val="fr-CA"/>
        </w:rPr>
        <w:t>Raison sociale de l’avocat (</w:t>
      </w:r>
      <w:r w:rsidRPr="00AE5F07">
        <w:rPr>
          <w:rFonts w:ascii="Times New Roman" w:eastAsia="Times New Roman" w:hAnsi="Times New Roman" w:cs="Times New Roman"/>
          <w:i/>
          <w:lang w:val="fr-CA"/>
        </w:rPr>
        <w:t>s’il y a lieu</w:t>
      </w:r>
      <w:r w:rsidRPr="00AE5F07">
        <w:rPr>
          <w:rFonts w:ascii="Times New Roman" w:eastAsia="Times New Roman" w:hAnsi="Times New Roman" w:cs="Times New Roman"/>
          <w:lang w:val="fr-CA"/>
        </w:rPr>
        <w:t xml:space="preserve">)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: .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 xml:space="preserve"> .  . . . . . . . . . . . . . . . . . . . . . . . . . . . . . . . . . . . . . . . . . . . . . . . . . . . . . . . . Adresse aux fins de signification :  . . . . . . . . . . . .. . . . . . . . . . . . . . . . . . . . . . . . . . . . . . . . . . . . . . . . . . . . . . . . </w:t>
      </w:r>
      <w:proofErr w:type="gramStart"/>
      <w:r w:rsidRPr="00AE5F07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AE5F07">
        <w:rPr>
          <w:rFonts w:ascii="Times New Roman" w:eastAsia="Times New Roman" w:hAnsi="Times New Roman" w:cs="Times New Roman"/>
          <w:lang w:val="fr-CA"/>
        </w:rPr>
        <w:t xml:space="preserve"> </w:t>
      </w:r>
      <w:r w:rsidRPr="002B4548">
        <w:rPr>
          <w:rFonts w:ascii="Times New Roman" w:eastAsia="Times New Roman" w:hAnsi="Times New Roman" w:cs="Times New Roman"/>
          <w:lang w:val="fr-CA"/>
        </w:rPr>
        <w:t>Adresse électronique (</w:t>
      </w:r>
      <w:r w:rsidRPr="002B4548">
        <w:rPr>
          <w:rFonts w:ascii="Times New Roman" w:eastAsia="Times New Roman" w:hAnsi="Times New Roman" w:cs="Times New Roman"/>
          <w:i/>
          <w:lang w:val="fr-CA"/>
        </w:rPr>
        <w:t>le cas échéant</w:t>
      </w:r>
      <w:r w:rsidRPr="002B4548">
        <w:rPr>
          <w:rFonts w:ascii="Times New Roman" w:eastAsia="Times New Roman" w:hAnsi="Times New Roman" w:cs="Times New Roman"/>
          <w:lang w:val="fr-CA"/>
        </w:rPr>
        <w:t xml:space="preserve">) :  . . . . . . . . . . . . . . . . . . . . . . . . . . . . . . . . . . . . . . . . . . . . . . . . . . . . . . . . . . . . Numéro de téléphone :  . . . . . . . . . . . . . . . . . . </w:t>
      </w:r>
      <w:proofErr w:type="gramStart"/>
      <w:r w:rsidRPr="002B4548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2B4548">
        <w:rPr>
          <w:rFonts w:ascii="Times New Roman" w:eastAsia="Times New Roman" w:hAnsi="Times New Roman" w:cs="Times New Roman"/>
          <w:lang w:val="fr-CA"/>
        </w:rPr>
        <w:t xml:space="preserve"> .. . . . . . . . . . . . . . . . . . . . . . . . . . . . . . . . . . . . . . . . . . . . . . . . . . Numéro de télécopieur (</w:t>
      </w:r>
      <w:r w:rsidRPr="002B4548">
        <w:rPr>
          <w:rFonts w:ascii="Times New Roman" w:eastAsia="Times New Roman" w:hAnsi="Times New Roman" w:cs="Times New Roman"/>
          <w:i/>
          <w:lang w:val="fr-CA"/>
        </w:rPr>
        <w:t>le cas échéant</w:t>
      </w:r>
      <w:r w:rsidRPr="002B4548">
        <w:rPr>
          <w:rFonts w:ascii="Times New Roman" w:eastAsia="Times New Roman" w:hAnsi="Times New Roman" w:cs="Times New Roman"/>
          <w:lang w:val="fr-CA"/>
        </w:rPr>
        <w:t xml:space="preserve">) : . . . . . . </w:t>
      </w:r>
      <w:proofErr w:type="gramStart"/>
      <w:r w:rsidRPr="002B4548">
        <w:rPr>
          <w:rFonts w:ascii="Times New Roman" w:eastAsia="Times New Roman" w:hAnsi="Times New Roman" w:cs="Times New Roman"/>
          <w:lang w:val="fr-CA"/>
        </w:rPr>
        <w:t>. . . .</w:t>
      </w:r>
      <w:proofErr w:type="gramEnd"/>
      <w:r w:rsidRPr="002B4548">
        <w:rPr>
          <w:rFonts w:ascii="Times New Roman" w:eastAsia="Times New Roman" w:hAnsi="Times New Roman" w:cs="Times New Roman"/>
          <w:lang w:val="fr-CA"/>
        </w:rPr>
        <w:t xml:space="preserve">. . . . . . . . . . . . . . . . . . . . . . . . . . . . . . . . . . . . . . . . . . . . . . . . . </w:t>
      </w:r>
      <w:r w:rsidR="006B436E" w:rsidRPr="00AE5F07">
        <w:rPr>
          <w:rFonts w:ascii="Times New Roman" w:eastAsia="Times New Roman" w:hAnsi="Times New Roman" w:cs="Times New Roman"/>
          <w:lang w:val="fr-CA"/>
        </w:rPr>
        <w:t>. .</w:t>
      </w:r>
    </w:p>
    <w:p w14:paraId="72DF4053" w14:textId="77777777" w:rsidR="002C6111" w:rsidRDefault="00AE5F07" w:rsidP="00220439">
      <w:pPr>
        <w:spacing w:after="0" w:line="228" w:lineRule="auto"/>
        <w:ind w:left="363" w:hanging="11"/>
      </w:pPr>
      <w:r>
        <w:rPr>
          <w:rFonts w:ascii="Times New Roman" w:eastAsia="Times New Roman" w:hAnsi="Times New Roman" w:cs="Times New Roman"/>
        </w:rPr>
        <w:t>93-12; 2006-46; 2012-57</w:t>
      </w:r>
    </w:p>
    <w:p w14:paraId="7399A54C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5D3F178D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78E4EAAD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3E9A1D07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1222EF51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7CA30B89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5D7EF361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76049933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35558658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4B651BE7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02D0B8C0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33C43E8C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4552A04C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5AF55B2B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45FE8589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006D3679" w14:textId="77777777" w:rsidR="00220439" w:rsidRDefault="00220439">
      <w:pPr>
        <w:spacing w:after="383"/>
        <w:ind w:left="410" w:right="869" w:hanging="10"/>
        <w:jc w:val="center"/>
        <w:rPr>
          <w:rFonts w:ascii="Times New Roman" w:eastAsia="Times New Roman" w:hAnsi="Times New Roman" w:cs="Times New Roman"/>
        </w:rPr>
      </w:pPr>
    </w:p>
    <w:p w14:paraId="79B39F0B" w14:textId="37BDFF0F" w:rsidR="002C6111" w:rsidRDefault="00AE5F07">
      <w:pPr>
        <w:spacing w:after="383"/>
        <w:ind w:left="410" w:right="869" w:hanging="10"/>
        <w:jc w:val="center"/>
      </w:pPr>
      <w:r>
        <w:rPr>
          <w:rFonts w:ascii="Times New Roman" w:eastAsia="Times New Roman" w:hAnsi="Times New Roman" w:cs="Times New Roman"/>
        </w:rPr>
        <w:t>2</w:t>
      </w:r>
    </w:p>
    <w:sectPr w:rsidR="002C6111">
      <w:pgSz w:w="12240" w:h="15840"/>
      <w:pgMar w:top="715" w:right="733" w:bottom="765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11"/>
    <w:rsid w:val="000D6071"/>
    <w:rsid w:val="00220439"/>
    <w:rsid w:val="002B4548"/>
    <w:rsid w:val="002C6111"/>
    <w:rsid w:val="00326D9E"/>
    <w:rsid w:val="004A1B01"/>
    <w:rsid w:val="004A36F5"/>
    <w:rsid w:val="005369CB"/>
    <w:rsid w:val="00563386"/>
    <w:rsid w:val="00585BC7"/>
    <w:rsid w:val="005F07D3"/>
    <w:rsid w:val="006B436E"/>
    <w:rsid w:val="00726CDC"/>
    <w:rsid w:val="008250FE"/>
    <w:rsid w:val="00841DF9"/>
    <w:rsid w:val="00A1115A"/>
    <w:rsid w:val="00AB58E4"/>
    <w:rsid w:val="00AE5F07"/>
    <w:rsid w:val="00BD7EB1"/>
    <w:rsid w:val="00D5257C"/>
    <w:rsid w:val="00D76015"/>
    <w:rsid w:val="00D96DC3"/>
    <w:rsid w:val="00E0413B"/>
    <w:rsid w:val="00E84954"/>
    <w:rsid w:val="00F01FEB"/>
    <w:rsid w:val="00FC49F5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A6A7"/>
  <w15:docId w15:val="{ED715FC6-866C-4DA3-8190-1DFD798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FORM-62A-F.fm</vt:lpstr>
      <vt:lpstr>FORM-62A-F.fm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FORM-62A-F.fm</dc:title>
  <dc:subject/>
  <dc:creator>sarahi</dc:creator>
  <cp:keywords/>
  <cp:lastModifiedBy>Desrosiers, Marie-Claude (JPS/JSP)</cp:lastModifiedBy>
  <cp:revision>22</cp:revision>
  <dcterms:created xsi:type="dcterms:W3CDTF">2021-06-04T18:20:00Z</dcterms:created>
  <dcterms:modified xsi:type="dcterms:W3CDTF">2022-04-08T16:08:00Z</dcterms:modified>
</cp:coreProperties>
</file>