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EBD" w:rsidRPr="004C22D0" w:rsidRDefault="00334EBD" w:rsidP="00C17025">
      <w:pPr>
        <w:pStyle w:val="ORRight"/>
        <w:widowControl/>
        <w:rPr>
          <w:lang w:val="fr-CA"/>
        </w:rPr>
      </w:pPr>
      <w:r w:rsidRPr="00D44BB9">
        <w:rPr>
          <w:rFonts w:ascii="Franklin Gothic Book" w:hAnsi="Franklin Gothic Book"/>
          <w:lang w:val="fr-CA"/>
        </w:rPr>
        <w:t>N</w:t>
      </w:r>
      <w:r w:rsidRPr="00D44BB9">
        <w:rPr>
          <w:rFonts w:ascii="Franklin Gothic Book" w:hAnsi="Franklin Gothic Book"/>
          <w:vertAlign w:val="superscript"/>
          <w:lang w:val="fr-CA"/>
        </w:rPr>
        <w:t>o</w:t>
      </w:r>
      <w:r w:rsidRPr="00D44BB9">
        <w:rPr>
          <w:rFonts w:ascii="Franklin Gothic Book" w:hAnsi="Franklin Gothic Book"/>
          <w:lang w:val="fr-CA"/>
        </w:rPr>
        <w:t xml:space="preserve"> du dossier de la cour</w:t>
      </w:r>
      <w:r w:rsidR="00164B36" w:rsidRPr="00D44BB9">
        <w:rPr>
          <w:rFonts w:ascii="Franklin Gothic Book" w:hAnsi="Franklin Gothic Book"/>
          <w:lang w:val="fr-CA"/>
        </w:rPr>
        <w:t> :</w:t>
      </w:r>
      <w:r w:rsidRPr="00D44BB9">
        <w:rPr>
          <w:rFonts w:ascii="Franklin Gothic Book" w:hAnsi="Franklin Gothic Book"/>
          <w:lang w:val="fr-CA"/>
        </w:rPr>
        <w:t xml:space="preserve"> </w:t>
      </w:r>
      <w:r w:rsidR="006243E7" w:rsidRPr="00D44BB9">
        <w:rPr>
          <w:rFonts w:ascii="Franklin Gothic Book" w:hAnsi="Franklin Gothic Book"/>
          <w:lang w:val="fr-CA"/>
        </w:rPr>
        <w:t>___/____/____/____</w:t>
      </w:r>
    </w:p>
    <w:p w:rsidR="00334EBD" w:rsidRPr="004C22D0" w:rsidRDefault="00334EBD" w:rsidP="00C17025">
      <w:pPr>
        <w:pStyle w:val="ORRight"/>
        <w:widowControl/>
        <w:jc w:val="left"/>
        <w:rPr>
          <w:lang w:val="fr-CA"/>
        </w:rPr>
      </w:pPr>
      <w:r w:rsidRPr="00D44BB9">
        <w:rPr>
          <w:rFonts w:ascii="Franklin Gothic Book" w:hAnsi="Franklin Gothic Book"/>
          <w:lang w:val="fr-CA"/>
        </w:rPr>
        <w:t>COUR DU BANC DE LA REINE DU NOUVEAU-BRUNSWICK</w:t>
      </w:r>
    </w:p>
    <w:p w:rsidR="00334EBD" w:rsidRPr="004C22D0" w:rsidRDefault="00334EBD" w:rsidP="00C17025">
      <w:pPr>
        <w:pStyle w:val="ORRight"/>
        <w:widowControl/>
        <w:jc w:val="left"/>
        <w:rPr>
          <w:rFonts w:ascii="Franklin Gothic Book" w:hAnsi="Franklin Gothic Book"/>
          <w:lang w:val="fr-CA"/>
        </w:rPr>
      </w:pPr>
      <w:r w:rsidRPr="00D44BB9">
        <w:rPr>
          <w:rFonts w:ascii="Franklin Gothic Book" w:hAnsi="Franklin Gothic Book"/>
          <w:lang w:val="fr-CA"/>
        </w:rPr>
        <w:t>EN MATIÈRE DE FAILLITE ET D'INSOLVABILITÉ</w:t>
      </w:r>
    </w:p>
    <w:p w:rsidR="00334EBD" w:rsidRPr="004C22D0" w:rsidRDefault="00FE43AE" w:rsidP="00C17025">
      <w:pPr>
        <w:pStyle w:val="ORRight"/>
        <w:widowControl/>
        <w:tabs>
          <w:tab w:val="left" w:pos="4680"/>
        </w:tabs>
        <w:jc w:val="left"/>
        <w:rPr>
          <w:rFonts w:ascii="Franklin Gothic Book" w:hAnsi="Franklin Gothic Book"/>
          <w:lang w:val="fr-CA"/>
        </w:rPr>
      </w:pPr>
      <w:r w:rsidRPr="00D44BB9">
        <w:rPr>
          <w:rFonts w:ascii="Franklin Gothic Book" w:hAnsi="Franklin Gothic Book"/>
          <w:lang w:val="fr-CA"/>
        </w:rPr>
        <w:t>CIRCONSCRIPTION JUDICIAIRE DE</w:t>
      </w:r>
      <w:r w:rsidR="00334EBD" w:rsidRPr="00D44BB9">
        <w:rPr>
          <w:rFonts w:ascii="Franklin Gothic Book" w:hAnsi="Franklin Gothic Book"/>
          <w:lang w:val="fr-CA"/>
        </w:rPr>
        <w:t xml:space="preserve"> </w:t>
      </w:r>
      <w:r w:rsidR="00A16634" w:rsidRPr="00111897">
        <w:rPr>
          <w:rFonts w:ascii="Franklin Gothic Book" w:hAnsi="Franklin Gothic Book"/>
          <w:u w:val="single"/>
          <w:lang w:val="fr-CA"/>
        </w:rPr>
        <w:tab/>
      </w:r>
    </w:p>
    <w:p w:rsidR="00B77CB5" w:rsidRPr="004C22D0" w:rsidRDefault="00B77CB5" w:rsidP="00C17025">
      <w:pPr>
        <w:pStyle w:val="ORRight"/>
        <w:widowControl/>
        <w:tabs>
          <w:tab w:val="left" w:pos="7368"/>
        </w:tabs>
        <w:jc w:val="left"/>
        <w:rPr>
          <w:rFonts w:ascii="Franklin Gothic Book" w:hAnsi="Franklin Gothic Book"/>
          <w:lang w:val="fr-CA"/>
        </w:rPr>
      </w:pPr>
    </w:p>
    <w:p w:rsidR="00334EBD" w:rsidRPr="004C22D0" w:rsidRDefault="006243E7" w:rsidP="00C17025">
      <w:pPr>
        <w:pStyle w:val="ORRight"/>
        <w:widowControl/>
        <w:jc w:val="left"/>
        <w:rPr>
          <w:rFonts w:ascii="Franklin Gothic Book" w:hAnsi="Franklin Gothic Book"/>
          <w:b/>
          <w:bCs/>
          <w:lang w:val="fr-CA"/>
        </w:rPr>
      </w:pPr>
      <w:r w:rsidRPr="00D44BB9">
        <w:rPr>
          <w:rFonts w:ascii="Franklin Gothic Book" w:hAnsi="Franklin Gothic Book"/>
          <w:b/>
          <w:bCs/>
          <w:lang w:val="fr-CA"/>
        </w:rPr>
        <w:t>DANS L’AFFAIRE DE</w:t>
      </w:r>
      <w:r w:rsidR="00FE43AE" w:rsidRPr="00D44BB9">
        <w:rPr>
          <w:rFonts w:ascii="Franklin Gothic Book" w:hAnsi="Franklin Gothic Book"/>
          <w:b/>
          <w:bCs/>
          <w:lang w:val="fr-CA"/>
        </w:rPr>
        <w:t xml:space="preserve"> LA MISE SOUS SÉQUESTRE DE</w:t>
      </w:r>
      <w:r w:rsidR="00164B36" w:rsidRPr="00D44BB9">
        <w:rPr>
          <w:rFonts w:ascii="Franklin Gothic Book" w:hAnsi="Franklin Gothic Book"/>
          <w:b/>
          <w:bCs/>
          <w:lang w:val="fr-CA"/>
        </w:rPr>
        <w:t> :</w:t>
      </w:r>
    </w:p>
    <w:p w:rsidR="00B77CB5" w:rsidRPr="004C22D0" w:rsidRDefault="00036B47" w:rsidP="00C17025">
      <w:pPr>
        <w:pStyle w:val="ORRight"/>
        <w:widowControl/>
        <w:tabs>
          <w:tab w:val="left" w:pos="7200"/>
        </w:tabs>
        <w:jc w:val="left"/>
        <w:rPr>
          <w:rFonts w:ascii="Franklin Gothic Book" w:hAnsi="Franklin Gothic Book"/>
          <w:b/>
          <w:bCs/>
          <w:u w:val="single"/>
          <w:lang w:val="fr-CA"/>
        </w:rPr>
      </w:pPr>
      <w:r w:rsidRPr="004C22D0">
        <w:rPr>
          <w:rFonts w:ascii="Franklin Gothic Book" w:hAnsi="Franklin Gothic Book"/>
          <w:b/>
          <w:bCs/>
          <w:u w:val="single"/>
          <w:lang w:val="fr-CA"/>
        </w:rPr>
        <w:tab/>
      </w:r>
    </w:p>
    <w:p w:rsidR="00334EBD" w:rsidRPr="004C22D0" w:rsidRDefault="00FE43AE" w:rsidP="00C17025">
      <w:pPr>
        <w:pStyle w:val="ORRight"/>
        <w:widowControl/>
        <w:jc w:val="both"/>
        <w:rPr>
          <w:rFonts w:ascii="Franklin Gothic Book" w:hAnsi="Franklin Gothic Book"/>
          <w:b/>
          <w:bCs/>
          <w:lang w:val="fr-CA"/>
        </w:rPr>
      </w:pPr>
      <w:r w:rsidRPr="00D44BB9">
        <w:rPr>
          <w:rFonts w:ascii="Franklin Gothic Book" w:hAnsi="Franklin Gothic Book"/>
          <w:b/>
          <w:bCs/>
          <w:lang w:val="fr-CA"/>
        </w:rPr>
        <w:t>EN VERTU de l’article </w:t>
      </w:r>
      <w:r w:rsidR="00334EBD" w:rsidRPr="00D44BB9">
        <w:rPr>
          <w:rFonts w:ascii="Franklin Gothic Book" w:hAnsi="Franklin Gothic Book"/>
          <w:b/>
          <w:bCs/>
          <w:lang w:val="fr-CA"/>
        </w:rPr>
        <w:t xml:space="preserve">33 </w:t>
      </w:r>
      <w:r w:rsidRPr="00D44BB9">
        <w:rPr>
          <w:rFonts w:ascii="Franklin Gothic Book" w:hAnsi="Franklin Gothic Book"/>
          <w:b/>
          <w:bCs/>
          <w:lang w:val="fr-CA"/>
        </w:rPr>
        <w:t xml:space="preserve">de la </w:t>
      </w:r>
      <w:r w:rsidRPr="00D44BB9">
        <w:rPr>
          <w:rFonts w:ascii="Franklin Gothic Book" w:hAnsi="Franklin Gothic Book"/>
          <w:b/>
          <w:bCs/>
          <w:i/>
          <w:lang w:val="fr-CA"/>
        </w:rPr>
        <w:t>Loi sur l’organisation judiciaire</w:t>
      </w:r>
      <w:r w:rsidR="00334EBD" w:rsidRPr="00D44BB9">
        <w:rPr>
          <w:rFonts w:ascii="Franklin Gothic Book" w:hAnsi="Franklin Gothic Book"/>
          <w:b/>
          <w:bCs/>
          <w:i/>
          <w:iCs/>
          <w:lang w:val="fr-CA"/>
        </w:rPr>
        <w:t xml:space="preserve">, </w:t>
      </w:r>
      <w:r w:rsidR="00334EBD" w:rsidRPr="00D44BB9">
        <w:rPr>
          <w:rFonts w:ascii="Franklin Gothic Book" w:hAnsi="Franklin Gothic Book"/>
          <w:b/>
          <w:bCs/>
          <w:lang w:val="fr-CA"/>
        </w:rPr>
        <w:t>S.</w:t>
      </w:r>
      <w:r w:rsidRPr="00D44BB9">
        <w:rPr>
          <w:rFonts w:ascii="Franklin Gothic Book" w:hAnsi="Franklin Gothic Book"/>
          <w:b/>
          <w:bCs/>
          <w:lang w:val="fr-CA"/>
        </w:rPr>
        <w:t>R.</w:t>
      </w:r>
      <w:r w:rsidR="00334EBD" w:rsidRPr="00D44BB9">
        <w:rPr>
          <w:rFonts w:ascii="Franklin Gothic Book" w:hAnsi="Franklin Gothic Book"/>
          <w:b/>
          <w:bCs/>
          <w:lang w:val="fr-CA"/>
        </w:rPr>
        <w:t>N.B.</w:t>
      </w:r>
      <w:r w:rsidRPr="00D44BB9">
        <w:rPr>
          <w:rFonts w:ascii="Franklin Gothic Book" w:hAnsi="Franklin Gothic Book"/>
          <w:b/>
          <w:bCs/>
          <w:lang w:val="fr-CA"/>
        </w:rPr>
        <w:t> </w:t>
      </w:r>
      <w:r w:rsidR="00334EBD" w:rsidRPr="00D44BB9">
        <w:rPr>
          <w:rFonts w:ascii="Franklin Gothic Book" w:hAnsi="Franklin Gothic Book"/>
          <w:b/>
          <w:bCs/>
          <w:lang w:val="fr-CA"/>
        </w:rPr>
        <w:t xml:space="preserve">1973, </w:t>
      </w:r>
      <w:r w:rsidRPr="00D44BB9">
        <w:rPr>
          <w:rFonts w:ascii="Franklin Gothic Book" w:hAnsi="Franklin Gothic Book"/>
          <w:b/>
          <w:bCs/>
          <w:lang w:val="fr-CA"/>
        </w:rPr>
        <w:t>c</w:t>
      </w:r>
      <w:r w:rsidR="00334EBD" w:rsidRPr="00D44BB9">
        <w:rPr>
          <w:rFonts w:ascii="Franklin Gothic Book" w:hAnsi="Franklin Gothic Book"/>
          <w:b/>
          <w:bCs/>
          <w:lang w:val="fr-CA"/>
        </w:rPr>
        <w:t>h.</w:t>
      </w:r>
      <w:r w:rsidRPr="00D44BB9">
        <w:rPr>
          <w:rFonts w:ascii="Franklin Gothic Book" w:hAnsi="Franklin Gothic Book"/>
          <w:b/>
          <w:bCs/>
          <w:lang w:val="fr-CA"/>
        </w:rPr>
        <w:t> </w:t>
      </w:r>
      <w:r w:rsidR="00334EBD" w:rsidRPr="00D44BB9">
        <w:rPr>
          <w:rFonts w:ascii="Franklin Gothic Book" w:hAnsi="Franklin Gothic Book"/>
          <w:b/>
          <w:bCs/>
          <w:lang w:val="fr-CA"/>
        </w:rPr>
        <w:t>J-2</w:t>
      </w:r>
      <w:r w:rsidR="00334EBD" w:rsidRPr="00D44BB9">
        <w:rPr>
          <w:rFonts w:ascii="Franklin Gothic Book" w:hAnsi="Franklin Gothic Book"/>
          <w:b/>
          <w:bCs/>
          <w:i/>
          <w:iCs/>
          <w:lang w:val="fr-CA"/>
        </w:rPr>
        <w:t>,</w:t>
      </w:r>
      <w:r w:rsidR="00334EBD" w:rsidRPr="00D44BB9">
        <w:rPr>
          <w:rFonts w:ascii="Franklin Gothic Book" w:hAnsi="Franklin Gothic Book"/>
          <w:b/>
          <w:bCs/>
          <w:lang w:val="fr-CA"/>
        </w:rPr>
        <w:t xml:space="preserve"> </w:t>
      </w:r>
      <w:r w:rsidRPr="00D44BB9">
        <w:rPr>
          <w:rFonts w:ascii="Franklin Gothic Book" w:hAnsi="Franklin Gothic Book"/>
          <w:b/>
          <w:bCs/>
          <w:lang w:val="fr-CA"/>
        </w:rPr>
        <w:t xml:space="preserve">de la </w:t>
      </w:r>
      <w:r w:rsidR="00334EBD" w:rsidRPr="00D44BB9">
        <w:rPr>
          <w:rFonts w:ascii="Franklin Gothic Book" w:hAnsi="Franklin Gothic Book"/>
          <w:b/>
          <w:bCs/>
          <w:i/>
          <w:lang w:val="fr-CA"/>
        </w:rPr>
        <w:t>R</w:t>
      </w:r>
      <w:r w:rsidRPr="00D44BB9">
        <w:rPr>
          <w:rFonts w:ascii="Franklin Gothic Book" w:hAnsi="Franklin Gothic Book"/>
          <w:b/>
          <w:bCs/>
          <w:i/>
          <w:lang w:val="fr-CA"/>
        </w:rPr>
        <w:t>ègle</w:t>
      </w:r>
      <w:r w:rsidR="00334EBD" w:rsidRPr="00D44BB9">
        <w:rPr>
          <w:rFonts w:ascii="Franklin Gothic Book" w:hAnsi="Franklin Gothic Book"/>
          <w:b/>
          <w:bCs/>
          <w:i/>
          <w:lang w:val="fr-CA"/>
        </w:rPr>
        <w:t xml:space="preserve"> 41</w:t>
      </w:r>
      <w:r w:rsidRPr="00D44BB9">
        <w:rPr>
          <w:rFonts w:ascii="Franklin Gothic Book" w:hAnsi="Franklin Gothic Book"/>
          <w:b/>
          <w:bCs/>
          <w:lang w:val="fr-CA"/>
        </w:rPr>
        <w:t xml:space="preserve"> des</w:t>
      </w:r>
      <w:r w:rsidR="00334EBD" w:rsidRPr="00D44BB9">
        <w:rPr>
          <w:rFonts w:ascii="Franklin Gothic Book" w:hAnsi="Franklin Gothic Book"/>
          <w:b/>
          <w:bCs/>
          <w:lang w:val="fr-CA"/>
        </w:rPr>
        <w:t xml:space="preserve"> </w:t>
      </w:r>
      <w:r w:rsidR="00334EBD" w:rsidRPr="00D44BB9">
        <w:rPr>
          <w:rFonts w:ascii="Franklin Gothic Book" w:hAnsi="Franklin Gothic Book"/>
          <w:b/>
          <w:bCs/>
          <w:i/>
          <w:lang w:val="fr-CA"/>
        </w:rPr>
        <w:t>R</w:t>
      </w:r>
      <w:r w:rsidRPr="00D44BB9">
        <w:rPr>
          <w:rFonts w:ascii="Franklin Gothic Book" w:hAnsi="Franklin Gothic Book"/>
          <w:b/>
          <w:bCs/>
          <w:i/>
          <w:lang w:val="fr-CA"/>
        </w:rPr>
        <w:t>ègles de procédures</w:t>
      </w:r>
      <w:r w:rsidR="00334EBD" w:rsidRPr="00D44BB9">
        <w:rPr>
          <w:rFonts w:ascii="Franklin Gothic Book" w:hAnsi="Franklin Gothic Book"/>
          <w:b/>
          <w:bCs/>
          <w:lang w:val="fr-CA"/>
        </w:rPr>
        <w:t xml:space="preserve"> </w:t>
      </w:r>
      <w:r w:rsidRPr="00D44BB9">
        <w:rPr>
          <w:rFonts w:ascii="Franklin Gothic Book" w:hAnsi="Franklin Gothic Book"/>
          <w:b/>
          <w:bCs/>
          <w:lang w:val="fr-CA"/>
        </w:rPr>
        <w:t>du Nouveau-Brunswick, et de l’article </w:t>
      </w:r>
      <w:r w:rsidR="00334EBD" w:rsidRPr="00D44BB9">
        <w:rPr>
          <w:rFonts w:ascii="Franklin Gothic Book" w:hAnsi="Franklin Gothic Book"/>
          <w:b/>
          <w:bCs/>
          <w:lang w:val="fr-CA"/>
        </w:rPr>
        <w:t xml:space="preserve">243 </w:t>
      </w:r>
      <w:r w:rsidRPr="00D44BB9">
        <w:rPr>
          <w:rFonts w:ascii="Franklin Gothic Book" w:hAnsi="Franklin Gothic Book"/>
          <w:b/>
          <w:bCs/>
          <w:lang w:val="fr-CA"/>
        </w:rPr>
        <w:t xml:space="preserve">de la </w:t>
      </w:r>
      <w:r w:rsidRPr="00D44BB9">
        <w:rPr>
          <w:rFonts w:ascii="Franklin Gothic Book" w:hAnsi="Franklin Gothic Book"/>
          <w:b/>
          <w:bCs/>
          <w:i/>
          <w:lang w:val="fr-CA"/>
        </w:rPr>
        <w:t>Loi sur la faillite et l’insolvabilité</w:t>
      </w:r>
      <w:r w:rsidR="00334EBD" w:rsidRPr="00D44BB9">
        <w:rPr>
          <w:rFonts w:ascii="Franklin Gothic Book" w:hAnsi="Franklin Gothic Book"/>
          <w:b/>
          <w:bCs/>
          <w:i/>
          <w:iCs/>
          <w:lang w:val="fr-CA"/>
        </w:rPr>
        <w:t xml:space="preserve">, </w:t>
      </w:r>
      <w:r w:rsidRPr="00D44BB9">
        <w:rPr>
          <w:rFonts w:ascii="Franklin Gothic Book" w:hAnsi="Franklin Gothic Book"/>
          <w:b/>
          <w:bCs/>
          <w:lang w:val="fr-CA"/>
        </w:rPr>
        <w:t>L</w:t>
      </w:r>
      <w:r w:rsidR="00334EBD" w:rsidRPr="00D44BB9">
        <w:rPr>
          <w:rFonts w:ascii="Franklin Gothic Book" w:hAnsi="Franklin Gothic Book"/>
          <w:b/>
          <w:bCs/>
          <w:lang w:val="fr-CA"/>
        </w:rPr>
        <w:t>.</w:t>
      </w:r>
      <w:r w:rsidRPr="00D44BB9">
        <w:rPr>
          <w:rFonts w:ascii="Franklin Gothic Book" w:hAnsi="Franklin Gothic Book"/>
          <w:b/>
          <w:bCs/>
          <w:lang w:val="fr-CA"/>
        </w:rPr>
        <w:t>R</w:t>
      </w:r>
      <w:r w:rsidR="00334EBD" w:rsidRPr="00D44BB9">
        <w:rPr>
          <w:rFonts w:ascii="Franklin Gothic Book" w:hAnsi="Franklin Gothic Book"/>
          <w:b/>
          <w:bCs/>
          <w:lang w:val="fr-CA"/>
        </w:rPr>
        <w:t>.C.</w:t>
      </w:r>
      <w:r w:rsidRPr="00D44BB9">
        <w:rPr>
          <w:rFonts w:ascii="Franklin Gothic Book" w:hAnsi="Franklin Gothic Book"/>
          <w:b/>
          <w:bCs/>
          <w:lang w:val="fr-CA"/>
        </w:rPr>
        <w:t> (</w:t>
      </w:r>
      <w:r w:rsidR="00334EBD" w:rsidRPr="00D44BB9">
        <w:rPr>
          <w:rFonts w:ascii="Franklin Gothic Book" w:hAnsi="Franklin Gothic Book"/>
          <w:b/>
          <w:bCs/>
          <w:lang w:val="fr-CA"/>
        </w:rPr>
        <w:t>1985</w:t>
      </w:r>
      <w:r w:rsidRPr="00D44BB9">
        <w:rPr>
          <w:rFonts w:ascii="Franklin Gothic Book" w:hAnsi="Franklin Gothic Book"/>
          <w:b/>
          <w:bCs/>
          <w:lang w:val="fr-CA"/>
        </w:rPr>
        <w:t>)</w:t>
      </w:r>
      <w:r w:rsidR="00334EBD" w:rsidRPr="00D44BB9">
        <w:rPr>
          <w:rFonts w:ascii="Franklin Gothic Book" w:hAnsi="Franklin Gothic Book"/>
          <w:b/>
          <w:bCs/>
          <w:lang w:val="fr-CA"/>
        </w:rPr>
        <w:t>, c</w:t>
      </w:r>
      <w:r w:rsidRPr="00D44BB9">
        <w:rPr>
          <w:rFonts w:ascii="Franklin Gothic Book" w:hAnsi="Franklin Gothic Book"/>
          <w:b/>
          <w:bCs/>
          <w:lang w:val="fr-CA"/>
        </w:rPr>
        <w:t>h</w:t>
      </w:r>
      <w:r w:rsidR="00334EBD" w:rsidRPr="00D44BB9">
        <w:rPr>
          <w:rFonts w:ascii="Franklin Gothic Book" w:hAnsi="Franklin Gothic Book"/>
          <w:b/>
          <w:bCs/>
          <w:lang w:val="fr-CA"/>
        </w:rPr>
        <w:t>.</w:t>
      </w:r>
      <w:r w:rsidRPr="00D44BB9">
        <w:rPr>
          <w:rFonts w:ascii="Franklin Gothic Book" w:hAnsi="Franklin Gothic Book"/>
          <w:b/>
          <w:bCs/>
          <w:lang w:val="fr-CA"/>
        </w:rPr>
        <w:t> </w:t>
      </w:r>
      <w:r w:rsidR="00334EBD" w:rsidRPr="00D44BB9">
        <w:rPr>
          <w:rFonts w:ascii="Franklin Gothic Book" w:hAnsi="Franklin Gothic Book"/>
          <w:b/>
          <w:bCs/>
          <w:lang w:val="fr-CA"/>
        </w:rPr>
        <w:t>B-3</w:t>
      </w:r>
    </w:p>
    <w:p w:rsidR="00334EBD" w:rsidRPr="004C22D0" w:rsidRDefault="00334EBD" w:rsidP="00C17025">
      <w:pPr>
        <w:pStyle w:val="ORRight"/>
        <w:widowControl/>
        <w:jc w:val="left"/>
        <w:rPr>
          <w:rFonts w:ascii="Franklin Gothic Book" w:hAnsi="Franklin Gothic Book"/>
          <w:lang w:val="fr-CA"/>
        </w:rPr>
      </w:pPr>
      <w:r w:rsidRPr="00D44BB9">
        <w:rPr>
          <w:rFonts w:ascii="Franklin Gothic Book" w:hAnsi="Franklin Gothic Book"/>
          <w:lang w:val="fr-CA"/>
        </w:rPr>
        <w:t>ENTRE</w:t>
      </w:r>
    </w:p>
    <w:p w:rsidR="00B77CB5" w:rsidRPr="004C22D0" w:rsidRDefault="00036B47" w:rsidP="00C17025">
      <w:pPr>
        <w:pStyle w:val="ORCentre"/>
        <w:widowControl/>
        <w:tabs>
          <w:tab w:val="left" w:pos="2880"/>
          <w:tab w:val="left" w:pos="8280"/>
        </w:tabs>
        <w:spacing w:after="0"/>
        <w:ind w:left="3600"/>
        <w:jc w:val="left"/>
        <w:rPr>
          <w:rFonts w:ascii="Franklin Gothic Book" w:hAnsi="Franklin Gothic Book"/>
          <w:b/>
          <w:bCs/>
          <w:u w:val="single"/>
          <w:lang w:val="fr-CA"/>
        </w:rPr>
      </w:pPr>
      <w:r w:rsidRPr="004C22D0">
        <w:rPr>
          <w:rFonts w:ascii="Franklin Gothic Book" w:hAnsi="Franklin Gothic Book"/>
          <w:b/>
          <w:bCs/>
          <w:u w:val="single"/>
          <w:lang w:val="fr-CA"/>
        </w:rPr>
        <w:tab/>
      </w:r>
    </w:p>
    <w:p w:rsidR="00036B47" w:rsidRPr="004C22D0" w:rsidRDefault="00036B47" w:rsidP="00C17025">
      <w:pPr>
        <w:pStyle w:val="ORCentre"/>
        <w:widowControl/>
        <w:tabs>
          <w:tab w:val="left" w:pos="2880"/>
        </w:tabs>
        <w:spacing w:after="0"/>
        <w:ind w:left="3600"/>
        <w:jc w:val="left"/>
        <w:rPr>
          <w:rFonts w:ascii="Franklin Gothic Book" w:hAnsi="Franklin Gothic Book"/>
          <w:b/>
          <w:bCs/>
          <w:lang w:val="fr-CA"/>
        </w:rPr>
      </w:pPr>
    </w:p>
    <w:p w:rsidR="00334EBD" w:rsidRPr="004C22D0" w:rsidRDefault="00FE43AE" w:rsidP="00C17025">
      <w:pPr>
        <w:pStyle w:val="ORCentre"/>
        <w:widowControl/>
        <w:tabs>
          <w:tab w:val="left" w:pos="2880"/>
        </w:tabs>
        <w:spacing w:after="0"/>
        <w:ind w:left="3600"/>
        <w:jc w:val="left"/>
        <w:rPr>
          <w:lang w:val="fr-CA"/>
        </w:rPr>
      </w:pPr>
      <w:r w:rsidRPr="00D44BB9">
        <w:rPr>
          <w:rFonts w:ascii="Franklin Gothic Book" w:hAnsi="Franklin Gothic Book"/>
          <w:b/>
          <w:bCs/>
          <w:lang w:val="fr-CA"/>
        </w:rPr>
        <w:t>LE REQUÉRANT</w:t>
      </w:r>
    </w:p>
    <w:p w:rsidR="00334EBD" w:rsidRPr="004C22D0" w:rsidRDefault="00FE43AE" w:rsidP="00C17025">
      <w:pPr>
        <w:pStyle w:val="ORCentre"/>
        <w:widowControl/>
        <w:spacing w:after="0"/>
        <w:ind w:left="2880" w:firstLine="720"/>
        <w:jc w:val="both"/>
        <w:rPr>
          <w:rFonts w:ascii="Franklin Gothic Book" w:hAnsi="Franklin Gothic Book"/>
          <w:lang w:val="fr-CA"/>
        </w:rPr>
      </w:pPr>
      <w:r w:rsidRPr="00D44BB9">
        <w:rPr>
          <w:rFonts w:ascii="Franklin Gothic Book" w:hAnsi="Franklin Gothic Book"/>
          <w:lang w:val="fr-CA"/>
        </w:rPr>
        <w:t>–</w:t>
      </w:r>
      <w:r w:rsidR="00334EBD" w:rsidRPr="00D44BB9">
        <w:rPr>
          <w:rFonts w:ascii="Franklin Gothic Book" w:hAnsi="Franklin Gothic Book"/>
          <w:lang w:val="fr-CA"/>
        </w:rPr>
        <w:t xml:space="preserve"> </w:t>
      </w:r>
      <w:r w:rsidRPr="00D44BB9">
        <w:rPr>
          <w:rFonts w:ascii="Franklin Gothic Book" w:hAnsi="Franklin Gothic Book"/>
          <w:lang w:val="fr-CA"/>
        </w:rPr>
        <w:t>et</w:t>
      </w:r>
      <w:r w:rsidR="00334EBD" w:rsidRPr="00D44BB9">
        <w:rPr>
          <w:rFonts w:ascii="Franklin Gothic Book" w:hAnsi="Franklin Gothic Book"/>
          <w:lang w:val="fr-CA"/>
        </w:rPr>
        <w:t xml:space="preserve"> –</w:t>
      </w:r>
    </w:p>
    <w:p w:rsidR="00B77CB5" w:rsidRPr="004C22D0" w:rsidRDefault="00B77CB5" w:rsidP="00C17025">
      <w:pPr>
        <w:pStyle w:val="ORCentre"/>
        <w:widowControl/>
        <w:spacing w:after="0"/>
        <w:ind w:left="6480" w:firstLine="720"/>
        <w:rPr>
          <w:rFonts w:ascii="Franklin Gothic Book" w:hAnsi="Franklin Gothic Book"/>
          <w:b/>
          <w:bCs/>
          <w:lang w:val="fr-CA"/>
        </w:rPr>
      </w:pPr>
    </w:p>
    <w:p w:rsidR="00334EBD" w:rsidRPr="004C22D0" w:rsidRDefault="00334EBD" w:rsidP="00C17025">
      <w:pPr>
        <w:pStyle w:val="ORCentre"/>
        <w:widowControl/>
        <w:ind w:left="3600"/>
        <w:jc w:val="left"/>
        <w:rPr>
          <w:rFonts w:ascii="Franklin Gothic Book" w:hAnsi="Franklin Gothic Book"/>
          <w:b/>
          <w:bCs/>
          <w:lang w:val="fr-CA"/>
        </w:rPr>
      </w:pPr>
      <w:r w:rsidRPr="00D44BB9">
        <w:rPr>
          <w:rFonts w:ascii="Franklin Gothic Book" w:hAnsi="Franklin Gothic Book"/>
          <w:b/>
          <w:bCs/>
          <w:lang w:val="fr-CA"/>
        </w:rPr>
        <w:t xml:space="preserve">______________________________, </w:t>
      </w:r>
      <w:r w:rsidR="00FE43AE" w:rsidRPr="00D44BB9">
        <w:rPr>
          <w:rFonts w:ascii="Franklin Gothic Book" w:hAnsi="Franklin Gothic Book"/>
          <w:b/>
          <w:bCs/>
          <w:lang w:val="fr-CA"/>
        </w:rPr>
        <w:t>exerçant ses activités dans la province du Nouveau-Brunswick</w:t>
      </w:r>
    </w:p>
    <w:p w:rsidR="00334EBD" w:rsidRPr="004C22D0" w:rsidRDefault="00FE43AE" w:rsidP="00C17025">
      <w:pPr>
        <w:pStyle w:val="ORCentre"/>
        <w:widowControl/>
        <w:ind w:left="6480" w:firstLine="720"/>
        <w:jc w:val="left"/>
        <w:rPr>
          <w:rFonts w:ascii="Franklin Gothic Book" w:hAnsi="Franklin Gothic Book"/>
          <w:b/>
          <w:bCs/>
          <w:lang w:val="fr-CA"/>
        </w:rPr>
      </w:pPr>
      <w:r w:rsidRPr="00D44BB9">
        <w:rPr>
          <w:rFonts w:ascii="Franklin Gothic Book" w:hAnsi="Franklin Gothic Book"/>
          <w:b/>
          <w:bCs/>
          <w:lang w:val="fr-CA"/>
        </w:rPr>
        <w:t>L’INTIMÉ</w:t>
      </w:r>
    </w:p>
    <w:p w:rsidR="00334EBD" w:rsidRPr="004C22D0" w:rsidRDefault="00334EBD" w:rsidP="00C17025">
      <w:pPr>
        <w:pStyle w:val="ORCentre"/>
        <w:widowControl/>
        <w:rPr>
          <w:rFonts w:ascii="Franklin Gothic Book" w:hAnsi="Franklin Gothic Book" w:cs="Times New Roman Bold"/>
          <w:b/>
          <w:bCs/>
          <w:u w:val="single"/>
          <w:lang w:val="fr-CA"/>
        </w:rPr>
      </w:pPr>
      <w:r w:rsidRPr="00D44BB9">
        <w:rPr>
          <w:rFonts w:ascii="Franklin Gothic Book" w:hAnsi="Franklin Gothic Book"/>
          <w:b/>
          <w:u w:val="single"/>
          <w:lang w:val="fr-CA"/>
        </w:rPr>
        <w:t>ORD</w:t>
      </w:r>
      <w:r w:rsidR="00FE43AE" w:rsidRPr="00D44BB9">
        <w:rPr>
          <w:rFonts w:ascii="Franklin Gothic Book" w:hAnsi="Franklin Gothic Book"/>
          <w:b/>
          <w:u w:val="single"/>
          <w:lang w:val="fr-CA"/>
        </w:rPr>
        <w:t>ONNANCE D</w:t>
      </w:r>
      <w:r w:rsidR="006243E7" w:rsidRPr="00D44BB9">
        <w:rPr>
          <w:rFonts w:ascii="Franklin Gothic Book" w:hAnsi="Franklin Gothic Book"/>
          <w:b/>
          <w:u w:val="single"/>
          <w:lang w:val="fr-CA"/>
        </w:rPr>
        <w:t>E</w:t>
      </w:r>
      <w:r w:rsidR="00FE43AE" w:rsidRPr="00D44BB9">
        <w:rPr>
          <w:rFonts w:ascii="Franklin Gothic Book" w:hAnsi="Franklin Gothic Book"/>
          <w:b/>
          <w:u w:val="single"/>
          <w:lang w:val="fr-CA"/>
        </w:rPr>
        <w:t xml:space="preserve"> SÉQUESTRE</w:t>
      </w:r>
    </w:p>
    <w:p w:rsidR="00334EBD" w:rsidRPr="004C22D0" w:rsidRDefault="00FE43AE" w:rsidP="00C17025">
      <w:pPr>
        <w:pStyle w:val="ORTab"/>
        <w:rPr>
          <w:b w:val="0"/>
          <w:lang w:val="fr-CA"/>
        </w:rPr>
      </w:pPr>
      <w:r w:rsidRPr="00D44BB9">
        <w:rPr>
          <w:b w:val="0"/>
          <w:lang w:val="fr-CA"/>
        </w:rPr>
        <w:t>LA PRÉSENTE DEMANDE</w:t>
      </w:r>
      <w:r w:rsidR="00164B36" w:rsidRPr="00D44BB9">
        <w:rPr>
          <w:b w:val="0"/>
          <w:lang w:val="fr-CA"/>
        </w:rPr>
        <w:t xml:space="preserve"> d’ordonnance</w:t>
      </w:r>
      <w:r w:rsidRPr="00D44BB9">
        <w:rPr>
          <w:b w:val="0"/>
          <w:lang w:val="fr-CA"/>
        </w:rPr>
        <w:t>, soumise par</w:t>
      </w:r>
      <w:r w:rsidR="00334EBD" w:rsidRPr="00D44BB9">
        <w:rPr>
          <w:rStyle w:val="FootnoteReference"/>
          <w:rFonts w:ascii="Franklin Gothic Book" w:hAnsi="Franklin Gothic Book"/>
          <w:b w:val="0"/>
          <w:lang w:val="fr-CA"/>
        </w:rPr>
        <w:footnoteReference w:id="2"/>
      </w:r>
      <w:r w:rsidR="00334EBD" w:rsidRPr="00D44BB9">
        <w:rPr>
          <w:b w:val="0"/>
          <w:lang w:val="fr-CA"/>
        </w:rPr>
        <w:t xml:space="preserve"> </w:t>
      </w:r>
      <w:r w:rsidRPr="00D44BB9">
        <w:rPr>
          <w:b w:val="0"/>
          <w:lang w:val="fr-CA"/>
        </w:rPr>
        <w:t xml:space="preserve">le requérant en </w:t>
      </w:r>
      <w:r w:rsidR="00A23609" w:rsidRPr="00D44BB9">
        <w:rPr>
          <w:b w:val="0"/>
          <w:lang w:val="fr-CA"/>
        </w:rPr>
        <w:t>vertu</w:t>
      </w:r>
      <w:r w:rsidRPr="00D44BB9">
        <w:rPr>
          <w:b w:val="0"/>
          <w:lang w:val="fr-CA"/>
        </w:rPr>
        <w:t xml:space="preserve"> de l’article </w:t>
      </w:r>
      <w:r w:rsidR="00334EBD" w:rsidRPr="00D44BB9">
        <w:rPr>
          <w:b w:val="0"/>
          <w:lang w:val="fr-CA"/>
        </w:rPr>
        <w:t>33</w:t>
      </w:r>
      <w:r w:rsidRPr="00D44BB9">
        <w:rPr>
          <w:b w:val="0"/>
          <w:lang w:val="fr-CA"/>
        </w:rPr>
        <w:t xml:space="preserve"> de la </w:t>
      </w:r>
      <w:r w:rsidRPr="00D44BB9">
        <w:rPr>
          <w:b w:val="0"/>
          <w:i/>
          <w:lang w:val="fr-CA"/>
        </w:rPr>
        <w:t>Loi sur l’organisation judiciaire</w:t>
      </w:r>
      <w:r w:rsidRPr="00D44BB9">
        <w:rPr>
          <w:b w:val="0"/>
          <w:lang w:val="fr-CA"/>
        </w:rPr>
        <w:t>,</w:t>
      </w:r>
      <w:r w:rsidR="00334EBD" w:rsidRPr="00D44BB9">
        <w:rPr>
          <w:b w:val="0"/>
          <w:lang w:val="fr-CA"/>
        </w:rPr>
        <w:t xml:space="preserve"> </w:t>
      </w:r>
      <w:r w:rsidRPr="00D44BB9">
        <w:rPr>
          <w:b w:val="0"/>
          <w:lang w:val="fr-CA"/>
        </w:rPr>
        <w:t>S.</w:t>
      </w:r>
      <w:r w:rsidR="00334EBD" w:rsidRPr="00D44BB9">
        <w:rPr>
          <w:b w:val="0"/>
          <w:lang w:val="fr-CA"/>
        </w:rPr>
        <w:t>R.N.B</w:t>
      </w:r>
      <w:r w:rsidR="00334EBD" w:rsidRPr="00D44BB9">
        <w:rPr>
          <w:b w:val="0"/>
          <w:i/>
          <w:iCs/>
          <w:lang w:val="fr-CA"/>
        </w:rPr>
        <w:t>.</w:t>
      </w:r>
      <w:r w:rsidRPr="00D44BB9">
        <w:rPr>
          <w:b w:val="0"/>
          <w:i/>
          <w:iCs/>
          <w:lang w:val="fr-CA"/>
        </w:rPr>
        <w:t> </w:t>
      </w:r>
      <w:r w:rsidR="00334EBD" w:rsidRPr="00D44BB9">
        <w:rPr>
          <w:b w:val="0"/>
          <w:lang w:val="fr-CA"/>
        </w:rPr>
        <w:t xml:space="preserve">1973, </w:t>
      </w:r>
      <w:r w:rsidRPr="00D44BB9">
        <w:rPr>
          <w:b w:val="0"/>
          <w:lang w:val="fr-CA"/>
        </w:rPr>
        <w:t>c</w:t>
      </w:r>
      <w:r w:rsidR="00334EBD" w:rsidRPr="00D44BB9">
        <w:rPr>
          <w:b w:val="0"/>
          <w:lang w:val="fr-CA"/>
        </w:rPr>
        <w:t>h.</w:t>
      </w:r>
      <w:r w:rsidRPr="00D44BB9">
        <w:rPr>
          <w:b w:val="0"/>
          <w:lang w:val="fr-CA"/>
        </w:rPr>
        <w:t> </w:t>
      </w:r>
      <w:r w:rsidR="00334EBD" w:rsidRPr="00D44BB9">
        <w:rPr>
          <w:b w:val="0"/>
          <w:lang w:val="fr-CA"/>
        </w:rPr>
        <w:t>J-2, (</w:t>
      </w:r>
      <w:r w:rsidRPr="00D44BB9">
        <w:rPr>
          <w:b w:val="0"/>
          <w:lang w:val="fr-CA"/>
        </w:rPr>
        <w:t>la</w:t>
      </w:r>
      <w:r w:rsidR="00334EBD" w:rsidRPr="00D44BB9">
        <w:rPr>
          <w:b w:val="0"/>
          <w:lang w:val="fr-CA"/>
        </w:rPr>
        <w:t xml:space="preserve"> </w:t>
      </w:r>
      <w:r w:rsidRPr="00D44BB9">
        <w:rPr>
          <w:b w:val="0"/>
          <w:lang w:val="fr-CA"/>
        </w:rPr>
        <w:t>« </w:t>
      </w:r>
      <w:r w:rsidRPr="00D44BB9">
        <w:rPr>
          <w:i/>
          <w:lang w:val="fr-CA"/>
        </w:rPr>
        <w:t>Loi sur l’organisation judiciaire</w:t>
      </w:r>
      <w:r w:rsidRPr="00D44BB9">
        <w:rPr>
          <w:b w:val="0"/>
          <w:lang w:val="fr-CA"/>
        </w:rPr>
        <w:t> »</w:t>
      </w:r>
      <w:r w:rsidR="00334EBD" w:rsidRPr="00D44BB9">
        <w:rPr>
          <w:b w:val="0"/>
          <w:lang w:val="fr-CA"/>
        </w:rPr>
        <w:t xml:space="preserve">), </w:t>
      </w:r>
      <w:r w:rsidRPr="00D44BB9">
        <w:rPr>
          <w:b w:val="0"/>
          <w:lang w:val="fr-CA"/>
        </w:rPr>
        <w:t>l</w:t>
      </w:r>
      <w:r w:rsidR="00164B36" w:rsidRPr="00D44BB9">
        <w:rPr>
          <w:b w:val="0"/>
          <w:lang w:val="fr-CA"/>
        </w:rPr>
        <w:t>a</w:t>
      </w:r>
      <w:r w:rsidRPr="00D44BB9">
        <w:rPr>
          <w:b w:val="0"/>
          <w:lang w:val="fr-CA"/>
        </w:rPr>
        <w:t xml:space="preserve"> </w:t>
      </w:r>
      <w:r w:rsidRPr="00D44BB9">
        <w:rPr>
          <w:b w:val="0"/>
          <w:i/>
          <w:lang w:val="fr-CA"/>
        </w:rPr>
        <w:t>Règle 41</w:t>
      </w:r>
      <w:r w:rsidR="00334EBD" w:rsidRPr="00D44BB9">
        <w:rPr>
          <w:b w:val="0"/>
          <w:lang w:val="fr-CA"/>
        </w:rPr>
        <w:t xml:space="preserve"> </w:t>
      </w:r>
      <w:r w:rsidRPr="00D44BB9">
        <w:rPr>
          <w:b w:val="0"/>
          <w:lang w:val="fr-CA"/>
        </w:rPr>
        <w:t xml:space="preserve">des </w:t>
      </w:r>
      <w:r w:rsidRPr="00D44BB9">
        <w:rPr>
          <w:b w:val="0"/>
          <w:i/>
          <w:lang w:val="fr-CA"/>
        </w:rPr>
        <w:t xml:space="preserve">Règles de procédures </w:t>
      </w:r>
      <w:r w:rsidRPr="00D44BB9">
        <w:rPr>
          <w:b w:val="0"/>
          <w:lang w:val="fr-CA"/>
        </w:rPr>
        <w:t>du Nouveau-Brunswick (les « </w:t>
      </w:r>
      <w:r w:rsidRPr="00D44BB9">
        <w:rPr>
          <w:i/>
          <w:lang w:val="fr-CA"/>
        </w:rPr>
        <w:t>Règles</w:t>
      </w:r>
      <w:r w:rsidRPr="00D44BB9">
        <w:rPr>
          <w:b w:val="0"/>
          <w:lang w:val="fr-CA"/>
        </w:rPr>
        <w:t> »</w:t>
      </w:r>
      <w:r w:rsidR="00334EBD" w:rsidRPr="00D44BB9">
        <w:rPr>
          <w:b w:val="0"/>
          <w:lang w:val="fr-CA"/>
        </w:rPr>
        <w:t xml:space="preserve"> </w:t>
      </w:r>
      <w:r w:rsidRPr="00D44BB9">
        <w:rPr>
          <w:b w:val="0"/>
          <w:lang w:val="fr-CA"/>
        </w:rPr>
        <w:t>et le paragraphe </w:t>
      </w:r>
      <w:r w:rsidR="00334EBD" w:rsidRPr="00D44BB9">
        <w:rPr>
          <w:b w:val="0"/>
          <w:lang w:val="fr-CA"/>
        </w:rPr>
        <w:t xml:space="preserve">243(1) </w:t>
      </w:r>
      <w:r w:rsidRPr="00D44BB9">
        <w:rPr>
          <w:b w:val="0"/>
          <w:lang w:val="fr-CA"/>
        </w:rPr>
        <w:t xml:space="preserve">de la </w:t>
      </w:r>
      <w:r w:rsidRPr="00D44BB9">
        <w:rPr>
          <w:b w:val="0"/>
          <w:i/>
          <w:lang w:val="fr-CA"/>
        </w:rPr>
        <w:t>Loi sur la faillite et l’insolvabilité</w:t>
      </w:r>
      <w:r w:rsidR="00334EBD" w:rsidRPr="00D44BB9">
        <w:rPr>
          <w:b w:val="0"/>
          <w:lang w:val="fr-CA"/>
        </w:rPr>
        <w:t xml:space="preserve">, </w:t>
      </w:r>
      <w:r w:rsidRPr="00D44BB9">
        <w:rPr>
          <w:b w:val="0"/>
          <w:lang w:val="fr-CA"/>
        </w:rPr>
        <w:t>L.R.</w:t>
      </w:r>
      <w:r w:rsidR="00334EBD" w:rsidRPr="00D44BB9">
        <w:rPr>
          <w:b w:val="0"/>
          <w:lang w:val="fr-CA"/>
        </w:rPr>
        <w:t>C.</w:t>
      </w:r>
      <w:r w:rsidRPr="00D44BB9">
        <w:rPr>
          <w:b w:val="0"/>
          <w:lang w:val="fr-CA"/>
        </w:rPr>
        <w:t> (</w:t>
      </w:r>
      <w:r w:rsidR="00334EBD" w:rsidRPr="00D44BB9">
        <w:rPr>
          <w:b w:val="0"/>
          <w:lang w:val="fr-CA"/>
        </w:rPr>
        <w:t>1985</w:t>
      </w:r>
      <w:r w:rsidRPr="00D44BB9">
        <w:rPr>
          <w:b w:val="0"/>
          <w:lang w:val="fr-CA"/>
        </w:rPr>
        <w:t>)</w:t>
      </w:r>
      <w:r w:rsidR="00334EBD" w:rsidRPr="00D44BB9">
        <w:rPr>
          <w:b w:val="0"/>
          <w:lang w:val="fr-CA"/>
        </w:rPr>
        <w:t>, c</w:t>
      </w:r>
      <w:r w:rsidRPr="00D44BB9">
        <w:rPr>
          <w:b w:val="0"/>
          <w:lang w:val="fr-CA"/>
        </w:rPr>
        <w:t>h</w:t>
      </w:r>
      <w:r w:rsidR="00334EBD" w:rsidRPr="00D44BB9">
        <w:rPr>
          <w:b w:val="0"/>
          <w:lang w:val="fr-CA"/>
        </w:rPr>
        <w:t>.</w:t>
      </w:r>
      <w:r w:rsidRPr="00D44BB9">
        <w:rPr>
          <w:b w:val="0"/>
          <w:lang w:val="fr-CA"/>
        </w:rPr>
        <w:t> </w:t>
      </w:r>
      <w:r w:rsidR="00334EBD" w:rsidRPr="00D44BB9">
        <w:rPr>
          <w:b w:val="0"/>
          <w:lang w:val="fr-CA"/>
        </w:rPr>
        <w:t xml:space="preserve">B-3, </w:t>
      </w:r>
      <w:r w:rsidRPr="00D44BB9">
        <w:rPr>
          <w:b w:val="0"/>
          <w:lang w:val="fr-CA"/>
        </w:rPr>
        <w:t xml:space="preserve">telle que modifiée </w:t>
      </w:r>
      <w:r w:rsidR="00334EBD" w:rsidRPr="00D44BB9">
        <w:rPr>
          <w:b w:val="0"/>
          <w:lang w:val="fr-CA"/>
        </w:rPr>
        <w:t>(</w:t>
      </w:r>
      <w:r w:rsidRPr="00D44BB9">
        <w:rPr>
          <w:b w:val="0"/>
          <w:lang w:val="fr-CA"/>
        </w:rPr>
        <w:t>la</w:t>
      </w:r>
      <w:r w:rsidR="00334EBD" w:rsidRPr="00D44BB9">
        <w:rPr>
          <w:b w:val="0"/>
          <w:lang w:val="fr-CA"/>
        </w:rPr>
        <w:t xml:space="preserve"> </w:t>
      </w:r>
      <w:r w:rsidRPr="00D44BB9">
        <w:rPr>
          <w:b w:val="0"/>
          <w:lang w:val="fr-CA"/>
        </w:rPr>
        <w:t>« </w:t>
      </w:r>
      <w:r w:rsidRPr="00D44BB9">
        <w:rPr>
          <w:i/>
          <w:lang w:val="fr-CA"/>
        </w:rPr>
        <w:t>Loi sur la faillite et l’insolvabilité</w:t>
      </w:r>
      <w:r w:rsidRPr="00D44BB9">
        <w:rPr>
          <w:b w:val="0"/>
          <w:lang w:val="fr-CA"/>
        </w:rPr>
        <w:t> »</w:t>
      </w:r>
      <w:r w:rsidR="00334EBD" w:rsidRPr="00D44BB9">
        <w:rPr>
          <w:b w:val="0"/>
          <w:lang w:val="fr-CA"/>
        </w:rPr>
        <w:t xml:space="preserve">) </w:t>
      </w:r>
      <w:r w:rsidRPr="00D44BB9">
        <w:rPr>
          <w:b w:val="0"/>
          <w:lang w:val="fr-CA"/>
        </w:rPr>
        <w:t>nommant</w:t>
      </w:r>
      <w:r w:rsidR="00334EBD" w:rsidRPr="00D44BB9">
        <w:rPr>
          <w:b w:val="0"/>
          <w:lang w:val="fr-CA"/>
        </w:rPr>
        <w:t xml:space="preserve"> [</w:t>
      </w:r>
      <w:r w:rsidR="00297E25" w:rsidRPr="00D44BB9">
        <w:rPr>
          <w:b w:val="0"/>
          <w:lang w:val="fr-CA"/>
        </w:rPr>
        <w:fldChar w:fldCharType="begin">
          <w:ffData>
            <w:name w:val=""/>
            <w:enabled/>
            <w:calcOnExit w:val="0"/>
            <w:textInput>
              <w:default w:val="RECEIVER'S NAME"/>
            </w:textInput>
          </w:ffData>
        </w:fldChar>
      </w:r>
      <w:r w:rsidR="00334EBD" w:rsidRPr="00D44BB9">
        <w:rPr>
          <w:b w:val="0"/>
          <w:lang w:val="fr-CA"/>
        </w:rPr>
        <w:instrText xml:space="preserve"> FORMTEXT </w:instrText>
      </w:r>
      <w:r w:rsidR="00297E25" w:rsidRPr="00D44BB9">
        <w:rPr>
          <w:b w:val="0"/>
          <w:lang w:val="fr-CA"/>
        </w:rPr>
      </w:r>
      <w:r w:rsidR="00297E25" w:rsidRPr="00D44BB9">
        <w:rPr>
          <w:b w:val="0"/>
          <w:lang w:val="fr-CA"/>
        </w:rPr>
        <w:fldChar w:fldCharType="separate"/>
      </w:r>
      <w:r w:rsidRPr="00D44BB9">
        <w:rPr>
          <w:b w:val="0"/>
          <w:lang w:val="fr-CA"/>
        </w:rPr>
        <w:t>NOM DU SÉQUESTRE</w:t>
      </w:r>
      <w:r w:rsidR="00297E25" w:rsidRPr="00D44BB9">
        <w:rPr>
          <w:b w:val="0"/>
          <w:lang w:val="fr-CA"/>
        </w:rPr>
        <w:fldChar w:fldCharType="end"/>
      </w:r>
      <w:r w:rsidR="00334EBD" w:rsidRPr="00D44BB9">
        <w:rPr>
          <w:b w:val="0"/>
          <w:lang w:val="fr-CA"/>
        </w:rPr>
        <w:t xml:space="preserve">] </w:t>
      </w:r>
      <w:r w:rsidRPr="00D44BB9">
        <w:rPr>
          <w:b w:val="0"/>
          <w:lang w:val="fr-CA"/>
        </w:rPr>
        <w:t>comme séquestre</w:t>
      </w:r>
      <w:r w:rsidR="00334EBD" w:rsidRPr="00D44BB9">
        <w:rPr>
          <w:b w:val="0"/>
          <w:lang w:val="fr-CA"/>
        </w:rPr>
        <w:t xml:space="preserve"> (</w:t>
      </w:r>
      <w:r w:rsidRPr="00D44BB9">
        <w:rPr>
          <w:b w:val="0"/>
          <w:lang w:val="fr-CA"/>
        </w:rPr>
        <w:t>et qui agit</w:t>
      </w:r>
      <w:r w:rsidR="006243E7" w:rsidRPr="00D44BB9">
        <w:rPr>
          <w:b w:val="0"/>
          <w:lang w:val="fr-CA"/>
        </w:rPr>
        <w:t xml:space="preserve"> en cette qualité</w:t>
      </w:r>
      <w:r w:rsidR="00334EBD" w:rsidRPr="00D44BB9">
        <w:rPr>
          <w:b w:val="0"/>
          <w:lang w:val="fr-CA"/>
        </w:rPr>
        <w:t xml:space="preserve">, </w:t>
      </w:r>
      <w:r w:rsidRPr="00D44BB9">
        <w:rPr>
          <w:b w:val="0"/>
          <w:lang w:val="fr-CA"/>
        </w:rPr>
        <w:t>l</w:t>
      </w:r>
      <w:r w:rsidR="00334EBD" w:rsidRPr="00D44BB9">
        <w:rPr>
          <w:b w:val="0"/>
          <w:lang w:val="fr-CA"/>
        </w:rPr>
        <w:t xml:space="preserve">e </w:t>
      </w:r>
      <w:r w:rsidRPr="00D44BB9">
        <w:rPr>
          <w:b w:val="0"/>
          <w:lang w:val="fr-CA"/>
        </w:rPr>
        <w:t>« </w:t>
      </w:r>
      <w:r w:rsidRPr="00D44BB9">
        <w:rPr>
          <w:lang w:val="fr-CA"/>
        </w:rPr>
        <w:t>séquestre</w:t>
      </w:r>
      <w:r w:rsidRPr="00D44BB9">
        <w:rPr>
          <w:b w:val="0"/>
          <w:lang w:val="fr-CA"/>
        </w:rPr>
        <w:t> »</w:t>
      </w:r>
      <w:r w:rsidR="00334EBD" w:rsidRPr="00D44BB9">
        <w:rPr>
          <w:b w:val="0"/>
          <w:lang w:val="fr-CA"/>
        </w:rPr>
        <w:t xml:space="preserve">) </w:t>
      </w:r>
      <w:r w:rsidRPr="00D44BB9">
        <w:rPr>
          <w:b w:val="0"/>
          <w:lang w:val="fr-CA"/>
        </w:rPr>
        <w:t xml:space="preserve">sans </w:t>
      </w:r>
      <w:r w:rsidR="00164B36" w:rsidRPr="00D44BB9">
        <w:rPr>
          <w:b w:val="0"/>
          <w:lang w:val="fr-CA"/>
        </w:rPr>
        <w:t>garantie</w:t>
      </w:r>
      <w:r w:rsidR="00334EBD" w:rsidRPr="00D44BB9">
        <w:rPr>
          <w:b w:val="0"/>
          <w:lang w:val="fr-CA"/>
        </w:rPr>
        <w:t xml:space="preserve">, </w:t>
      </w:r>
      <w:r w:rsidRPr="00D44BB9">
        <w:rPr>
          <w:b w:val="0"/>
          <w:lang w:val="fr-CA"/>
        </w:rPr>
        <w:t>de tous</w:t>
      </w:r>
      <w:r w:rsidR="00334EBD" w:rsidRPr="00D44BB9">
        <w:rPr>
          <w:rStyle w:val="FootnoteReference"/>
          <w:b w:val="0"/>
          <w:lang w:val="fr-CA"/>
        </w:rPr>
        <w:footnoteReference w:id="3"/>
      </w:r>
      <w:r w:rsidR="00334EBD" w:rsidRPr="00D44BB9">
        <w:rPr>
          <w:b w:val="0"/>
          <w:lang w:val="fr-CA"/>
        </w:rPr>
        <w:t xml:space="preserve"> </w:t>
      </w:r>
      <w:r w:rsidRPr="00D44BB9">
        <w:rPr>
          <w:b w:val="0"/>
          <w:lang w:val="fr-CA"/>
        </w:rPr>
        <w:t>les actifs</w:t>
      </w:r>
      <w:r w:rsidR="003D3EC7" w:rsidRPr="00D44BB9">
        <w:rPr>
          <w:b w:val="0"/>
          <w:lang w:val="fr-CA"/>
        </w:rPr>
        <w:t>,</w:t>
      </w:r>
      <w:r w:rsidRPr="00D44BB9">
        <w:rPr>
          <w:b w:val="0"/>
          <w:lang w:val="fr-CA"/>
        </w:rPr>
        <w:t xml:space="preserve"> engagements et biens d</w:t>
      </w:r>
      <w:r w:rsidR="00164B36" w:rsidRPr="00D44BB9">
        <w:rPr>
          <w:b w:val="0"/>
          <w:lang w:val="fr-CA"/>
        </w:rPr>
        <w:t>e l’intimé</w:t>
      </w:r>
      <w:r w:rsidRPr="00D44BB9">
        <w:rPr>
          <w:b w:val="0"/>
          <w:lang w:val="fr-CA"/>
        </w:rPr>
        <w:t xml:space="preserve">, acquis </w:t>
      </w:r>
      <w:r w:rsidR="00164B36" w:rsidRPr="00D44BB9">
        <w:rPr>
          <w:b w:val="0"/>
          <w:lang w:val="fr-CA"/>
        </w:rPr>
        <w:t xml:space="preserve">dans le cadre des </w:t>
      </w:r>
      <w:r w:rsidRPr="00D44BB9">
        <w:rPr>
          <w:b w:val="0"/>
          <w:lang w:val="fr-CA"/>
        </w:rPr>
        <w:t>affaires ou utilisés en rapport avec les affaires exécutées par l</w:t>
      </w:r>
      <w:r w:rsidR="00164B36" w:rsidRPr="00D44BB9">
        <w:rPr>
          <w:b w:val="0"/>
          <w:lang w:val="fr-CA"/>
        </w:rPr>
        <w:t>’intimé</w:t>
      </w:r>
      <w:r w:rsidR="00334EBD" w:rsidRPr="00D44BB9">
        <w:rPr>
          <w:b w:val="0"/>
          <w:lang w:val="fr-CA"/>
        </w:rPr>
        <w:t xml:space="preserve">, </w:t>
      </w:r>
      <w:r w:rsidRPr="00D44BB9">
        <w:rPr>
          <w:b w:val="0"/>
          <w:lang w:val="fr-CA"/>
        </w:rPr>
        <w:t>a été reçue en ce jour à</w:t>
      </w:r>
      <w:r w:rsidR="00334EBD" w:rsidRPr="00D44BB9">
        <w:rPr>
          <w:b w:val="0"/>
          <w:lang w:val="fr-CA"/>
        </w:rPr>
        <w:t xml:space="preserve"> ________________</w:t>
      </w:r>
      <w:r w:rsidR="00334EBD" w:rsidRPr="00D44BB9">
        <w:rPr>
          <w:rFonts w:cs="Franklin Gothic Book"/>
          <w:b w:val="0"/>
          <w:lang w:val="fr-CA"/>
        </w:rPr>
        <w:t>, ______________, _____________</w:t>
      </w:r>
      <w:r w:rsidR="00334EBD" w:rsidRPr="00D44BB9">
        <w:rPr>
          <w:b w:val="0"/>
          <w:lang w:val="fr-CA"/>
        </w:rPr>
        <w:t>.</w:t>
      </w:r>
    </w:p>
    <w:p w:rsidR="00334EBD" w:rsidRPr="004C22D0" w:rsidRDefault="0019043B" w:rsidP="00C17025">
      <w:pPr>
        <w:pStyle w:val="ORTab"/>
        <w:rPr>
          <w:b w:val="0"/>
          <w:lang w:val="fr-CA"/>
        </w:rPr>
      </w:pPr>
      <w:r w:rsidRPr="00D44BB9">
        <w:rPr>
          <w:b w:val="0"/>
          <w:lang w:val="fr-CA"/>
        </w:rPr>
        <w:t>APRÈS LECTURE de l’</w:t>
      </w:r>
      <w:r w:rsidR="00334EBD" w:rsidRPr="00D44BB9">
        <w:rPr>
          <w:b w:val="0"/>
          <w:lang w:val="fr-CA"/>
        </w:rPr>
        <w:t xml:space="preserve">affidavit </w:t>
      </w:r>
      <w:r w:rsidRPr="00D44BB9">
        <w:rPr>
          <w:b w:val="0"/>
          <w:lang w:val="fr-CA"/>
        </w:rPr>
        <w:t>de</w:t>
      </w:r>
      <w:r w:rsidR="00334EBD" w:rsidRPr="00D44BB9">
        <w:rPr>
          <w:b w:val="0"/>
          <w:lang w:val="fr-CA"/>
        </w:rPr>
        <w:t xml:space="preserve"> [</w:t>
      </w:r>
      <w:r w:rsidR="00297E25" w:rsidRPr="00D44BB9">
        <w:rPr>
          <w:b w:val="0"/>
          <w:lang w:val="fr-CA"/>
        </w:rPr>
        <w:fldChar w:fldCharType="begin">
          <w:ffData>
            <w:name w:val=""/>
            <w:enabled/>
            <w:calcOnExit w:val="0"/>
            <w:textInput>
              <w:default w:val="NAME"/>
            </w:textInput>
          </w:ffData>
        </w:fldChar>
      </w:r>
      <w:r w:rsidR="00334EBD" w:rsidRPr="00D44BB9">
        <w:rPr>
          <w:b w:val="0"/>
          <w:lang w:val="fr-CA"/>
        </w:rPr>
        <w:instrText xml:space="preserve"> FORMTEXT </w:instrText>
      </w:r>
      <w:r w:rsidR="00297E25" w:rsidRPr="00D44BB9">
        <w:rPr>
          <w:b w:val="0"/>
          <w:lang w:val="fr-CA"/>
        </w:rPr>
      </w:r>
      <w:r w:rsidR="00297E25" w:rsidRPr="00D44BB9">
        <w:rPr>
          <w:b w:val="0"/>
          <w:lang w:val="fr-CA"/>
        </w:rPr>
        <w:fldChar w:fldCharType="separate"/>
      </w:r>
      <w:r w:rsidR="00334EBD" w:rsidRPr="00D44BB9">
        <w:rPr>
          <w:b w:val="0"/>
          <w:lang w:val="fr-CA"/>
        </w:rPr>
        <w:t>N</w:t>
      </w:r>
      <w:r w:rsidRPr="00D44BB9">
        <w:rPr>
          <w:b w:val="0"/>
          <w:lang w:val="fr-CA"/>
        </w:rPr>
        <w:t>O</w:t>
      </w:r>
      <w:r w:rsidR="00334EBD" w:rsidRPr="00D44BB9">
        <w:rPr>
          <w:b w:val="0"/>
          <w:lang w:val="fr-CA"/>
        </w:rPr>
        <w:t>M</w:t>
      </w:r>
      <w:r w:rsidR="00297E25" w:rsidRPr="00D44BB9">
        <w:rPr>
          <w:b w:val="0"/>
          <w:lang w:val="fr-CA"/>
        </w:rPr>
        <w:fldChar w:fldCharType="end"/>
      </w:r>
      <w:r w:rsidR="00334EBD" w:rsidRPr="00D44BB9">
        <w:rPr>
          <w:b w:val="0"/>
          <w:lang w:val="fr-CA"/>
        </w:rPr>
        <w:t xml:space="preserve">] </w:t>
      </w:r>
      <w:r w:rsidRPr="00D44BB9">
        <w:rPr>
          <w:b w:val="0"/>
          <w:lang w:val="fr-CA"/>
        </w:rPr>
        <w:t>assermenté le</w:t>
      </w:r>
      <w:r w:rsidR="00334EBD" w:rsidRPr="00D44BB9">
        <w:rPr>
          <w:b w:val="0"/>
          <w:lang w:val="fr-CA"/>
        </w:rPr>
        <w:t xml:space="preserve"> [</w:t>
      </w:r>
      <w:r w:rsidR="00297E25" w:rsidRPr="00D44BB9">
        <w:rPr>
          <w:b w:val="0"/>
          <w:lang w:val="fr-CA"/>
        </w:rPr>
        <w:fldChar w:fldCharType="begin">
          <w:ffData>
            <w:name w:val=""/>
            <w:enabled/>
            <w:calcOnExit w:val="0"/>
            <w:textInput>
              <w:default w:val="DATE"/>
            </w:textInput>
          </w:ffData>
        </w:fldChar>
      </w:r>
      <w:r w:rsidR="00334EBD" w:rsidRPr="00D44BB9">
        <w:rPr>
          <w:b w:val="0"/>
          <w:lang w:val="fr-CA"/>
        </w:rPr>
        <w:instrText xml:space="preserve"> FORMTEXT </w:instrText>
      </w:r>
      <w:r w:rsidR="00297E25" w:rsidRPr="00D44BB9">
        <w:rPr>
          <w:b w:val="0"/>
          <w:lang w:val="fr-CA"/>
        </w:rPr>
      </w:r>
      <w:r w:rsidR="00297E25" w:rsidRPr="00D44BB9">
        <w:rPr>
          <w:b w:val="0"/>
          <w:lang w:val="fr-CA"/>
        </w:rPr>
        <w:fldChar w:fldCharType="separate"/>
      </w:r>
      <w:r w:rsidR="00334EBD" w:rsidRPr="00D44BB9">
        <w:rPr>
          <w:b w:val="0"/>
          <w:lang w:val="fr-CA"/>
        </w:rPr>
        <w:t>DATE</w:t>
      </w:r>
      <w:r w:rsidR="00297E25" w:rsidRPr="00D44BB9">
        <w:rPr>
          <w:b w:val="0"/>
          <w:lang w:val="fr-CA"/>
        </w:rPr>
        <w:fldChar w:fldCharType="end"/>
      </w:r>
      <w:r w:rsidR="00334EBD" w:rsidRPr="00D44BB9">
        <w:rPr>
          <w:b w:val="0"/>
          <w:lang w:val="fr-CA"/>
        </w:rPr>
        <w:t xml:space="preserve">] </w:t>
      </w:r>
      <w:r w:rsidRPr="00D44BB9">
        <w:rPr>
          <w:b w:val="0"/>
          <w:lang w:val="fr-CA"/>
        </w:rPr>
        <w:t>et les preuves présenté</w:t>
      </w:r>
      <w:r w:rsidR="00164B36" w:rsidRPr="00D44BB9">
        <w:rPr>
          <w:b w:val="0"/>
          <w:lang w:val="fr-CA"/>
        </w:rPr>
        <w:t>e</w:t>
      </w:r>
      <w:r w:rsidRPr="00D44BB9">
        <w:rPr>
          <w:b w:val="0"/>
          <w:lang w:val="fr-CA"/>
        </w:rPr>
        <w:t>s et après a</w:t>
      </w:r>
      <w:r w:rsidR="006243E7" w:rsidRPr="00D44BB9">
        <w:rPr>
          <w:b w:val="0"/>
          <w:lang w:val="fr-CA"/>
        </w:rPr>
        <w:t xml:space="preserve">voir entendu l’argumentation des </w:t>
      </w:r>
      <w:r w:rsidRPr="00D44BB9">
        <w:rPr>
          <w:b w:val="0"/>
          <w:lang w:val="fr-CA"/>
        </w:rPr>
        <w:t>avocat</w:t>
      </w:r>
      <w:r w:rsidR="006243E7" w:rsidRPr="00D44BB9">
        <w:rPr>
          <w:b w:val="0"/>
          <w:lang w:val="fr-CA"/>
        </w:rPr>
        <w:t>s</w:t>
      </w:r>
      <w:r w:rsidRPr="00D44BB9">
        <w:rPr>
          <w:b w:val="0"/>
          <w:lang w:val="fr-CA"/>
        </w:rPr>
        <w:t xml:space="preserve"> de </w:t>
      </w:r>
      <w:r w:rsidR="00334EBD" w:rsidRPr="00D44BB9">
        <w:rPr>
          <w:b w:val="0"/>
          <w:lang w:val="fr-CA"/>
        </w:rPr>
        <w:t>[</w:t>
      </w:r>
      <w:r w:rsidR="00297E25" w:rsidRPr="00D44BB9">
        <w:rPr>
          <w:b w:val="0"/>
          <w:lang w:val="fr-CA"/>
        </w:rPr>
        <w:fldChar w:fldCharType="begin">
          <w:ffData>
            <w:name w:val=""/>
            <w:enabled/>
            <w:calcOnExit w:val="0"/>
            <w:textInput>
              <w:default w:val="NAMES"/>
            </w:textInput>
          </w:ffData>
        </w:fldChar>
      </w:r>
      <w:r w:rsidR="00334EBD" w:rsidRPr="00D44BB9">
        <w:rPr>
          <w:b w:val="0"/>
          <w:lang w:val="fr-CA"/>
        </w:rPr>
        <w:instrText xml:space="preserve"> FORMTEXT </w:instrText>
      </w:r>
      <w:r w:rsidR="00297E25" w:rsidRPr="00D44BB9">
        <w:rPr>
          <w:b w:val="0"/>
          <w:lang w:val="fr-CA"/>
        </w:rPr>
      </w:r>
      <w:r w:rsidR="00297E25" w:rsidRPr="00D44BB9">
        <w:rPr>
          <w:b w:val="0"/>
          <w:lang w:val="fr-CA"/>
        </w:rPr>
        <w:fldChar w:fldCharType="separate"/>
      </w:r>
      <w:r w:rsidR="00334EBD" w:rsidRPr="00D44BB9">
        <w:rPr>
          <w:b w:val="0"/>
          <w:lang w:val="fr-CA"/>
        </w:rPr>
        <w:t>N</w:t>
      </w:r>
      <w:r w:rsidRPr="00D44BB9">
        <w:rPr>
          <w:b w:val="0"/>
          <w:lang w:val="fr-CA"/>
        </w:rPr>
        <w:t>O</w:t>
      </w:r>
      <w:r w:rsidR="00334EBD" w:rsidRPr="00D44BB9">
        <w:rPr>
          <w:b w:val="0"/>
          <w:lang w:val="fr-CA"/>
        </w:rPr>
        <w:t>MS</w:t>
      </w:r>
      <w:r w:rsidR="00297E25" w:rsidRPr="00D44BB9">
        <w:rPr>
          <w:b w:val="0"/>
          <w:lang w:val="fr-CA"/>
        </w:rPr>
        <w:fldChar w:fldCharType="end"/>
      </w:r>
      <w:r w:rsidR="00334EBD" w:rsidRPr="00D44BB9">
        <w:rPr>
          <w:b w:val="0"/>
          <w:lang w:val="fr-CA"/>
        </w:rPr>
        <w:t xml:space="preserve">], </w:t>
      </w:r>
      <w:r w:rsidRPr="00D44BB9">
        <w:rPr>
          <w:b w:val="0"/>
          <w:lang w:val="fr-CA"/>
        </w:rPr>
        <w:t xml:space="preserve">personne ne comparaissant </w:t>
      </w:r>
      <w:r w:rsidR="006243E7" w:rsidRPr="00D44BB9">
        <w:rPr>
          <w:b w:val="0"/>
          <w:lang w:val="fr-CA"/>
        </w:rPr>
        <w:t>au nom de</w:t>
      </w:r>
      <w:r w:rsidRPr="00D44BB9">
        <w:rPr>
          <w:b w:val="0"/>
          <w:lang w:val="fr-CA"/>
        </w:rPr>
        <w:t xml:space="preserve"> </w:t>
      </w:r>
      <w:r w:rsidR="00334EBD" w:rsidRPr="00D44BB9">
        <w:rPr>
          <w:b w:val="0"/>
          <w:lang w:val="fr-CA"/>
        </w:rPr>
        <w:t>[</w:t>
      </w:r>
      <w:r w:rsidR="00297E25" w:rsidRPr="00D44BB9">
        <w:rPr>
          <w:b w:val="0"/>
          <w:lang w:val="fr-CA"/>
        </w:rPr>
        <w:fldChar w:fldCharType="begin">
          <w:ffData>
            <w:name w:val=""/>
            <w:enabled/>
            <w:calcOnExit w:val="0"/>
            <w:textInput>
              <w:default w:val="NAME"/>
            </w:textInput>
          </w:ffData>
        </w:fldChar>
      </w:r>
      <w:r w:rsidR="00334EBD" w:rsidRPr="00D44BB9">
        <w:rPr>
          <w:b w:val="0"/>
          <w:lang w:val="fr-CA"/>
        </w:rPr>
        <w:instrText xml:space="preserve"> FORMTEXT </w:instrText>
      </w:r>
      <w:r w:rsidR="00297E25" w:rsidRPr="00D44BB9">
        <w:rPr>
          <w:b w:val="0"/>
          <w:lang w:val="fr-CA"/>
        </w:rPr>
      </w:r>
      <w:r w:rsidR="00297E25" w:rsidRPr="00D44BB9">
        <w:rPr>
          <w:b w:val="0"/>
          <w:lang w:val="fr-CA"/>
        </w:rPr>
        <w:fldChar w:fldCharType="separate"/>
      </w:r>
      <w:r w:rsidR="00334EBD" w:rsidRPr="00D44BB9">
        <w:rPr>
          <w:b w:val="0"/>
          <w:lang w:val="fr-CA"/>
        </w:rPr>
        <w:t>N</w:t>
      </w:r>
      <w:r w:rsidRPr="00D44BB9">
        <w:rPr>
          <w:b w:val="0"/>
          <w:lang w:val="fr-CA"/>
        </w:rPr>
        <w:t>O</w:t>
      </w:r>
      <w:r w:rsidR="00334EBD" w:rsidRPr="00D44BB9">
        <w:rPr>
          <w:b w:val="0"/>
          <w:lang w:val="fr-CA"/>
        </w:rPr>
        <w:t>M</w:t>
      </w:r>
      <w:r w:rsidR="00297E25" w:rsidRPr="00D44BB9">
        <w:rPr>
          <w:b w:val="0"/>
          <w:lang w:val="fr-CA"/>
        </w:rPr>
        <w:fldChar w:fldCharType="end"/>
      </w:r>
      <w:r w:rsidR="00334EBD" w:rsidRPr="00D44BB9">
        <w:rPr>
          <w:b w:val="0"/>
          <w:lang w:val="fr-CA"/>
        </w:rPr>
        <w:t xml:space="preserve">] </w:t>
      </w:r>
      <w:r w:rsidRPr="00D44BB9">
        <w:rPr>
          <w:b w:val="0"/>
          <w:lang w:val="fr-CA"/>
        </w:rPr>
        <w:t>bien que l</w:t>
      </w:r>
      <w:r w:rsidR="006243E7" w:rsidRPr="00D44BB9">
        <w:rPr>
          <w:b w:val="0"/>
          <w:lang w:val="fr-CA"/>
        </w:rPr>
        <w:t>’avis de</w:t>
      </w:r>
      <w:r w:rsidRPr="00D44BB9">
        <w:rPr>
          <w:b w:val="0"/>
          <w:lang w:val="fr-CA"/>
        </w:rPr>
        <w:t xml:space="preserve"> comparution ait été dûment signifié</w:t>
      </w:r>
      <w:r w:rsidR="006243E7" w:rsidRPr="00D44BB9">
        <w:rPr>
          <w:b w:val="0"/>
          <w:lang w:val="fr-CA"/>
        </w:rPr>
        <w:t xml:space="preserve"> dans </w:t>
      </w:r>
      <w:r w:rsidRPr="00D44BB9">
        <w:rPr>
          <w:b w:val="0"/>
          <w:lang w:val="fr-CA"/>
        </w:rPr>
        <w:t>l’</w:t>
      </w:r>
      <w:r w:rsidR="00334EBD" w:rsidRPr="00D44BB9">
        <w:rPr>
          <w:b w:val="0"/>
          <w:lang w:val="fr-CA"/>
        </w:rPr>
        <w:t xml:space="preserve">affidavit </w:t>
      </w:r>
      <w:r w:rsidRPr="00D44BB9">
        <w:rPr>
          <w:b w:val="0"/>
          <w:lang w:val="fr-CA"/>
        </w:rPr>
        <w:t>de signification de</w:t>
      </w:r>
      <w:r w:rsidR="00334EBD" w:rsidRPr="00D44BB9">
        <w:rPr>
          <w:b w:val="0"/>
          <w:lang w:val="fr-CA"/>
        </w:rPr>
        <w:t xml:space="preserve"> [</w:t>
      </w:r>
      <w:r w:rsidR="00297E25" w:rsidRPr="00D44BB9">
        <w:rPr>
          <w:b w:val="0"/>
          <w:lang w:val="fr-CA"/>
        </w:rPr>
        <w:fldChar w:fldCharType="begin">
          <w:ffData>
            <w:name w:val=""/>
            <w:enabled/>
            <w:calcOnExit w:val="0"/>
            <w:textInput>
              <w:default w:val="NAME"/>
            </w:textInput>
          </w:ffData>
        </w:fldChar>
      </w:r>
      <w:r w:rsidR="00334EBD" w:rsidRPr="00D44BB9">
        <w:rPr>
          <w:b w:val="0"/>
          <w:lang w:val="fr-CA"/>
        </w:rPr>
        <w:instrText xml:space="preserve"> FORMTEXT </w:instrText>
      </w:r>
      <w:r w:rsidR="00297E25" w:rsidRPr="00D44BB9">
        <w:rPr>
          <w:b w:val="0"/>
          <w:lang w:val="fr-CA"/>
        </w:rPr>
      </w:r>
      <w:r w:rsidR="00297E25" w:rsidRPr="00D44BB9">
        <w:rPr>
          <w:b w:val="0"/>
          <w:lang w:val="fr-CA"/>
        </w:rPr>
        <w:fldChar w:fldCharType="separate"/>
      </w:r>
      <w:r w:rsidR="00334EBD" w:rsidRPr="00D44BB9">
        <w:rPr>
          <w:b w:val="0"/>
          <w:lang w:val="fr-CA"/>
        </w:rPr>
        <w:t>N</w:t>
      </w:r>
      <w:r w:rsidRPr="00D44BB9">
        <w:rPr>
          <w:b w:val="0"/>
          <w:lang w:val="fr-CA"/>
        </w:rPr>
        <w:t>O</w:t>
      </w:r>
      <w:r w:rsidR="00334EBD" w:rsidRPr="00D44BB9">
        <w:rPr>
          <w:b w:val="0"/>
          <w:lang w:val="fr-CA"/>
        </w:rPr>
        <w:t>M</w:t>
      </w:r>
      <w:r w:rsidR="00297E25" w:rsidRPr="00D44BB9">
        <w:rPr>
          <w:b w:val="0"/>
          <w:lang w:val="fr-CA"/>
        </w:rPr>
        <w:fldChar w:fldCharType="end"/>
      </w:r>
      <w:r w:rsidR="00334EBD" w:rsidRPr="00D44BB9">
        <w:rPr>
          <w:b w:val="0"/>
          <w:lang w:val="fr-CA"/>
        </w:rPr>
        <w:t>]</w:t>
      </w:r>
      <w:r w:rsidRPr="00D44BB9">
        <w:rPr>
          <w:b w:val="0"/>
          <w:lang w:val="fr-CA"/>
        </w:rPr>
        <w:t xml:space="preserve"> assermenté le</w:t>
      </w:r>
      <w:r w:rsidR="00334EBD" w:rsidRPr="00D44BB9">
        <w:rPr>
          <w:b w:val="0"/>
          <w:lang w:val="fr-CA"/>
        </w:rPr>
        <w:t xml:space="preserve"> [</w:t>
      </w:r>
      <w:r w:rsidR="00297E25" w:rsidRPr="00D44BB9">
        <w:rPr>
          <w:b w:val="0"/>
          <w:lang w:val="fr-CA"/>
        </w:rPr>
        <w:fldChar w:fldCharType="begin">
          <w:ffData>
            <w:name w:val=""/>
            <w:enabled/>
            <w:calcOnExit w:val="0"/>
            <w:textInput>
              <w:default w:val="DATE"/>
            </w:textInput>
          </w:ffData>
        </w:fldChar>
      </w:r>
      <w:r w:rsidR="00334EBD" w:rsidRPr="00D44BB9">
        <w:rPr>
          <w:b w:val="0"/>
          <w:lang w:val="fr-CA"/>
        </w:rPr>
        <w:instrText xml:space="preserve"> FORMTEXT </w:instrText>
      </w:r>
      <w:r w:rsidR="00297E25" w:rsidRPr="00D44BB9">
        <w:rPr>
          <w:b w:val="0"/>
          <w:lang w:val="fr-CA"/>
        </w:rPr>
      </w:r>
      <w:r w:rsidR="00297E25" w:rsidRPr="00D44BB9">
        <w:rPr>
          <w:b w:val="0"/>
          <w:lang w:val="fr-CA"/>
        </w:rPr>
        <w:fldChar w:fldCharType="separate"/>
      </w:r>
      <w:r w:rsidR="00334EBD" w:rsidRPr="00D44BB9">
        <w:rPr>
          <w:b w:val="0"/>
          <w:lang w:val="fr-CA"/>
        </w:rPr>
        <w:t>DATE</w:t>
      </w:r>
      <w:r w:rsidR="00297E25" w:rsidRPr="00D44BB9">
        <w:rPr>
          <w:b w:val="0"/>
          <w:lang w:val="fr-CA"/>
        </w:rPr>
        <w:fldChar w:fldCharType="end"/>
      </w:r>
      <w:r w:rsidR="00334EBD" w:rsidRPr="00D44BB9">
        <w:rPr>
          <w:b w:val="0"/>
          <w:lang w:val="fr-CA"/>
        </w:rPr>
        <w:t xml:space="preserve">] </w:t>
      </w:r>
      <w:r w:rsidRPr="00D44BB9">
        <w:rPr>
          <w:b w:val="0"/>
          <w:lang w:val="fr-CA"/>
        </w:rPr>
        <w:t>et après lecture du consentement de</w:t>
      </w:r>
      <w:r w:rsidR="00334EBD" w:rsidRPr="00D44BB9">
        <w:rPr>
          <w:b w:val="0"/>
          <w:lang w:val="fr-CA"/>
        </w:rPr>
        <w:t xml:space="preserve"> [</w:t>
      </w:r>
      <w:r w:rsidR="00297E25" w:rsidRPr="00D44BB9">
        <w:rPr>
          <w:b w:val="0"/>
          <w:lang w:val="fr-CA"/>
        </w:rPr>
        <w:fldChar w:fldCharType="begin">
          <w:ffData>
            <w:name w:val=""/>
            <w:enabled/>
            <w:calcOnExit w:val="0"/>
            <w:textInput>
              <w:default w:val="RECEIVER'S NAME"/>
            </w:textInput>
          </w:ffData>
        </w:fldChar>
      </w:r>
      <w:r w:rsidR="00334EBD" w:rsidRPr="00D44BB9">
        <w:rPr>
          <w:b w:val="0"/>
          <w:lang w:val="fr-CA"/>
        </w:rPr>
        <w:instrText xml:space="preserve"> FORMTEXT </w:instrText>
      </w:r>
      <w:r w:rsidR="00297E25" w:rsidRPr="00D44BB9">
        <w:rPr>
          <w:b w:val="0"/>
          <w:lang w:val="fr-CA"/>
        </w:rPr>
      </w:r>
      <w:r w:rsidR="00297E25" w:rsidRPr="00D44BB9">
        <w:rPr>
          <w:b w:val="0"/>
          <w:lang w:val="fr-CA"/>
        </w:rPr>
        <w:fldChar w:fldCharType="separate"/>
      </w:r>
      <w:r w:rsidRPr="00D44BB9">
        <w:rPr>
          <w:b w:val="0"/>
          <w:lang w:val="fr-CA"/>
        </w:rPr>
        <w:t>NOM DU SÉQUESTRE</w:t>
      </w:r>
      <w:r w:rsidR="00297E25" w:rsidRPr="00D44BB9">
        <w:rPr>
          <w:b w:val="0"/>
          <w:lang w:val="fr-CA"/>
        </w:rPr>
        <w:fldChar w:fldCharType="end"/>
      </w:r>
      <w:r w:rsidR="00334EBD" w:rsidRPr="00D44BB9">
        <w:rPr>
          <w:b w:val="0"/>
          <w:lang w:val="fr-CA"/>
        </w:rPr>
        <w:t xml:space="preserve">] </w:t>
      </w:r>
      <w:r w:rsidRPr="00D44BB9">
        <w:rPr>
          <w:b w:val="0"/>
          <w:lang w:val="fr-CA"/>
        </w:rPr>
        <w:t>d’agir comme séquestre,</w:t>
      </w:r>
    </w:p>
    <w:p w:rsidR="00334EBD" w:rsidRPr="004C22D0" w:rsidRDefault="00E36404" w:rsidP="00C17025">
      <w:pPr>
        <w:pStyle w:val="ORTab"/>
        <w:rPr>
          <w:lang w:val="fr-CA"/>
        </w:rPr>
      </w:pPr>
      <w:r w:rsidRPr="00D44BB9">
        <w:rPr>
          <w:lang w:val="fr-CA"/>
        </w:rPr>
        <w:t>IL EST</w:t>
      </w:r>
      <w:r w:rsidR="00334EBD" w:rsidRPr="00D44BB9">
        <w:rPr>
          <w:lang w:val="fr-CA"/>
        </w:rPr>
        <w:t xml:space="preserve"> ORDONN</w:t>
      </w:r>
      <w:r w:rsidRPr="00D44BB9">
        <w:rPr>
          <w:lang w:val="fr-CA"/>
        </w:rPr>
        <w:t>É</w:t>
      </w:r>
      <w:r w:rsidR="00334EBD" w:rsidRPr="00D44BB9">
        <w:rPr>
          <w:lang w:val="fr-CA"/>
        </w:rPr>
        <w:t xml:space="preserve"> </w:t>
      </w:r>
      <w:r w:rsidR="0019043B" w:rsidRPr="00D44BB9">
        <w:rPr>
          <w:lang w:val="fr-CA"/>
        </w:rPr>
        <w:t>CE QUI SUI</w:t>
      </w:r>
      <w:r w:rsidR="006243E7" w:rsidRPr="00D44BB9">
        <w:rPr>
          <w:lang w:val="fr-CA"/>
        </w:rPr>
        <w:t>T :</w:t>
      </w:r>
    </w:p>
    <w:p w:rsidR="00334EBD" w:rsidRPr="004C22D0" w:rsidRDefault="00334EBD" w:rsidP="00C17025">
      <w:pPr>
        <w:pStyle w:val="ORTab"/>
        <w:rPr>
          <w:lang w:val="fr-CA"/>
        </w:rPr>
      </w:pPr>
      <w:r w:rsidRPr="00D44BB9">
        <w:rPr>
          <w:lang w:val="fr-CA"/>
        </w:rPr>
        <w:t>S</w:t>
      </w:r>
      <w:r w:rsidR="00164B36" w:rsidRPr="00D44BB9">
        <w:rPr>
          <w:lang w:val="fr-CA"/>
        </w:rPr>
        <w:t>IGNIFICATION</w:t>
      </w:r>
    </w:p>
    <w:p w:rsidR="00334EBD" w:rsidRPr="004C22D0" w:rsidRDefault="003D3EC7" w:rsidP="003760AF">
      <w:pPr>
        <w:pStyle w:val="ORGenL1"/>
      </w:pPr>
      <w:r w:rsidRPr="00D44BB9">
        <w:t xml:space="preserve">Le </w:t>
      </w:r>
      <w:r w:rsidR="00164B36" w:rsidRPr="00D44BB9">
        <w:t>délai</w:t>
      </w:r>
      <w:r w:rsidRPr="00D44BB9">
        <w:t xml:space="preserve"> de signification de l'avis de demande et du dossier de demande est par les présentes </w:t>
      </w:r>
      <w:r w:rsidR="00334EBD" w:rsidRPr="00D44BB9">
        <w:t>[</w:t>
      </w:r>
      <w:r w:rsidRPr="00D44BB9">
        <w:t>abrégé et</w:t>
      </w:r>
      <w:r w:rsidR="00334EBD" w:rsidRPr="00D44BB9">
        <w:t xml:space="preserve">] </w:t>
      </w:r>
      <w:r w:rsidRPr="00D44BB9">
        <w:t>validé</w:t>
      </w:r>
      <w:r w:rsidR="00334EBD" w:rsidRPr="00D44BB9">
        <w:rPr>
          <w:rStyle w:val="FootnoteReference"/>
          <w:rFonts w:ascii="Franklin Gothic Book" w:hAnsi="Franklin Gothic Book"/>
          <w:lang w:val="fr-CA"/>
        </w:rPr>
        <w:footnoteReference w:id="4"/>
      </w:r>
      <w:r w:rsidRPr="00D44BB9">
        <w:rPr>
          <w:rStyle w:val="tw4winMark"/>
          <w:color w:val="auto"/>
        </w:rPr>
        <w:t>,</w:t>
      </w:r>
      <w:r w:rsidRPr="00D44BB9">
        <w:t xml:space="preserve"> de sorte que la présente demande </w:t>
      </w:r>
      <w:r w:rsidR="00F24BEC" w:rsidRPr="00D44BB9">
        <w:t>est rapportable</w:t>
      </w:r>
      <w:r w:rsidRPr="00D44BB9">
        <w:t xml:space="preserve"> aujourd'hui et qu'une signification ultérieure est superflue</w:t>
      </w:r>
      <w:r w:rsidR="00334EBD" w:rsidRPr="00D44BB9">
        <w:t>.</w:t>
      </w:r>
    </w:p>
    <w:p w:rsidR="00334EBD" w:rsidRPr="004C22D0" w:rsidRDefault="003D3EC7" w:rsidP="00C17025">
      <w:pPr>
        <w:pStyle w:val="ORTab"/>
        <w:rPr>
          <w:lang w:val="fr-CA"/>
        </w:rPr>
      </w:pPr>
      <w:r w:rsidRPr="00D44BB9">
        <w:rPr>
          <w:lang w:val="fr-CA"/>
        </w:rPr>
        <w:t>NOMINATION</w:t>
      </w:r>
    </w:p>
    <w:p w:rsidR="00334EBD" w:rsidRPr="004C22D0" w:rsidRDefault="003D3EC7" w:rsidP="003760AF">
      <w:pPr>
        <w:pStyle w:val="ORGenL1"/>
      </w:pPr>
      <w:r w:rsidRPr="00D44BB9">
        <w:t>En vertu de l'article</w:t>
      </w:r>
      <w:r w:rsidR="00F24BEC" w:rsidRPr="00D44BB9">
        <w:t> </w:t>
      </w:r>
      <w:r w:rsidRPr="00D44BB9">
        <w:t xml:space="preserve">33 de la </w:t>
      </w:r>
      <w:r w:rsidRPr="00D44BB9">
        <w:rPr>
          <w:i/>
        </w:rPr>
        <w:t>Loi sur l'organisation judiciaire</w:t>
      </w:r>
      <w:r w:rsidRPr="00D44BB9">
        <w:t xml:space="preserve">, de la </w:t>
      </w:r>
      <w:r w:rsidRPr="00D44BB9">
        <w:rPr>
          <w:i/>
        </w:rPr>
        <w:t>Règle 41</w:t>
      </w:r>
      <w:r w:rsidRPr="00D44BB9">
        <w:t xml:space="preserve"> des </w:t>
      </w:r>
      <w:r w:rsidRPr="00D44BB9">
        <w:rPr>
          <w:i/>
        </w:rPr>
        <w:t>Règles de procédures</w:t>
      </w:r>
      <w:r w:rsidRPr="00D44BB9">
        <w:t xml:space="preserve"> et du paragraphe </w:t>
      </w:r>
      <w:r w:rsidR="00334EBD" w:rsidRPr="00D44BB9">
        <w:t>243(1)</w:t>
      </w:r>
      <w:r w:rsidRPr="00D44BB9">
        <w:t xml:space="preserve"> de la </w:t>
      </w:r>
      <w:r w:rsidRPr="00D44BB9">
        <w:rPr>
          <w:i/>
        </w:rPr>
        <w:t>Loi sur la faillite et l'insolvabilité</w:t>
      </w:r>
      <w:r w:rsidRPr="00D44BB9">
        <w:t>, le séquestre est par les présentes nommé séquestre</w:t>
      </w:r>
      <w:r w:rsidR="00334EBD" w:rsidRPr="00D44BB9">
        <w:t xml:space="preserve"> [</w:t>
      </w:r>
      <w:r w:rsidRPr="00D44BB9">
        <w:t>séquestre-gérant</w:t>
      </w:r>
      <w:r w:rsidR="00334EBD" w:rsidRPr="00D44BB9">
        <w:t>],</w:t>
      </w:r>
      <w:r w:rsidRPr="00D44BB9">
        <w:t xml:space="preserve"> sans </w:t>
      </w:r>
      <w:r w:rsidR="00164B36" w:rsidRPr="00D44BB9">
        <w:t>garantie</w:t>
      </w:r>
      <w:r w:rsidRPr="00D44BB9">
        <w:t xml:space="preserve">, de tous les actifs, engagements et biens du débiteur, acquis </w:t>
      </w:r>
      <w:r w:rsidR="00164B36" w:rsidRPr="00D44BB9">
        <w:t>dans le cadre des</w:t>
      </w:r>
      <w:r w:rsidRPr="00D44BB9">
        <w:t xml:space="preserve"> affaires ou utilisés </w:t>
      </w:r>
      <w:r w:rsidR="00164B36" w:rsidRPr="00D44BB9">
        <w:t xml:space="preserve">en rapport avec </w:t>
      </w:r>
      <w:r w:rsidRPr="00D44BB9">
        <w:t xml:space="preserve">les affaires exécutées par l'intimé, incluant tous les produits </w:t>
      </w:r>
      <w:r w:rsidR="00F24BEC" w:rsidRPr="00D44BB9">
        <w:t>correspondants</w:t>
      </w:r>
      <w:r w:rsidRPr="00D44BB9">
        <w:t xml:space="preserve"> (les « </w:t>
      </w:r>
      <w:r w:rsidRPr="00D44BB9">
        <w:rPr>
          <w:b/>
        </w:rPr>
        <w:t>biens</w:t>
      </w:r>
      <w:r w:rsidRPr="00D44BB9">
        <w:t> »)</w:t>
      </w:r>
      <w:r w:rsidR="00334EBD" w:rsidRPr="00D44BB9">
        <w:t>.</w:t>
      </w:r>
    </w:p>
    <w:p w:rsidR="00334EBD" w:rsidRPr="004C22D0" w:rsidRDefault="00A23609" w:rsidP="00C17025">
      <w:pPr>
        <w:pStyle w:val="ORTab"/>
        <w:rPr>
          <w:lang w:val="fr-CA"/>
        </w:rPr>
      </w:pPr>
      <w:r w:rsidRPr="00D44BB9">
        <w:rPr>
          <w:lang w:val="fr-CA"/>
        </w:rPr>
        <w:t>POUVOIRS DU SÉQUESTRE</w:t>
      </w:r>
    </w:p>
    <w:p w:rsidR="00334EBD" w:rsidRPr="004C22D0" w:rsidRDefault="003D3EC7" w:rsidP="003760AF">
      <w:pPr>
        <w:pStyle w:val="ORGenL1"/>
      </w:pPr>
      <w:r w:rsidRPr="00D44BB9">
        <w:t xml:space="preserve">Par les présentes, le séquestre est habilité et autorisé, sans y être obligé, à </w:t>
      </w:r>
      <w:r w:rsidR="00F24BEC" w:rsidRPr="00D44BB9">
        <w:t xml:space="preserve">agir </w:t>
      </w:r>
      <w:r w:rsidRPr="00D44BB9">
        <w:t xml:space="preserve">dès maintenant </w:t>
      </w:r>
      <w:r w:rsidR="00164B36" w:rsidRPr="00D44BB9">
        <w:t xml:space="preserve">relativement aux </w:t>
      </w:r>
      <w:r w:rsidRPr="00D44BB9">
        <w:t xml:space="preserve">biens et, sans </w:t>
      </w:r>
      <w:r w:rsidR="00164B36" w:rsidRPr="00D44BB9">
        <w:t>restreindre le caractère</w:t>
      </w:r>
      <w:r w:rsidRPr="00D44BB9">
        <w:t xml:space="preserve"> général</w:t>
      </w:r>
      <w:r w:rsidR="00164B36" w:rsidRPr="00D44BB9">
        <w:t xml:space="preserve"> de ce qui précède</w:t>
      </w:r>
      <w:r w:rsidRPr="00D44BB9">
        <w:t xml:space="preserve">, </w:t>
      </w:r>
      <w:r w:rsidR="00164B36" w:rsidRPr="00D44BB9">
        <w:t xml:space="preserve">si le séquestre est convaincu que cela est nécessaire ou souhaitable, </w:t>
      </w:r>
      <w:r w:rsidR="00755263" w:rsidRPr="00D44BB9">
        <w:t>il</w:t>
      </w:r>
      <w:r w:rsidRPr="00D44BB9">
        <w:t xml:space="preserve"> est par les présentes autorisé et habilité à</w:t>
      </w:r>
      <w:r w:rsidR="00164B36" w:rsidRPr="00D44BB9">
        <w:t> :</w:t>
      </w:r>
    </w:p>
    <w:p w:rsidR="00334EBD" w:rsidRPr="004C22D0" w:rsidRDefault="003D3EC7" w:rsidP="003760AF">
      <w:pPr>
        <w:pStyle w:val="ORGenL1"/>
        <w:numPr>
          <w:ilvl w:val="0"/>
          <w:numId w:val="17"/>
        </w:numPr>
      </w:pPr>
      <w:r w:rsidRPr="00D44BB9">
        <w:t>prendre possession et contrôle des biens et des produits ou reçus provenant de</w:t>
      </w:r>
      <w:r w:rsidR="00164B36" w:rsidRPr="00D44BB9">
        <w:t>s</w:t>
      </w:r>
      <w:r w:rsidRPr="00D44BB9">
        <w:t xml:space="preserve"> biens mais, pendant tout</w:t>
      </w:r>
      <w:r w:rsidR="00164B36" w:rsidRPr="00D44BB9">
        <w:t>e la période</w:t>
      </w:r>
      <w:r w:rsidRPr="00D44BB9">
        <w:t xml:space="preserve"> où le séquestre est en possession d</w:t>
      </w:r>
      <w:r w:rsidR="00164B36" w:rsidRPr="00D44BB9">
        <w:t>’un</w:t>
      </w:r>
      <w:r w:rsidRPr="00D44BB9">
        <w:t xml:space="preserve"> </w:t>
      </w:r>
      <w:r w:rsidR="00BD0B01" w:rsidRPr="00D44BB9">
        <w:t>bien</w:t>
      </w:r>
      <w:r w:rsidRPr="00D44BB9">
        <w:t>, il doit le préserver et le protéger</w:t>
      </w:r>
      <w:r w:rsidR="00334EBD" w:rsidRPr="00D44BB9">
        <w:t>;</w:t>
      </w:r>
    </w:p>
    <w:p w:rsidR="00334EBD" w:rsidRPr="004C22D0" w:rsidRDefault="003D3EC7" w:rsidP="003760AF">
      <w:pPr>
        <w:pStyle w:val="ORGenL1"/>
        <w:numPr>
          <w:ilvl w:val="0"/>
          <w:numId w:val="17"/>
        </w:numPr>
      </w:pPr>
      <w:r w:rsidRPr="00D44BB9">
        <w:t xml:space="preserve">remplacer les serrures et les codes de sécurité, déplacer une partie ou la totalité des biens pour les mettre en sécurité, embaucher du personnel de sécurité indépendant, faire des inventaires physiques et </w:t>
      </w:r>
      <w:r w:rsidR="00164B36" w:rsidRPr="00D44BB9">
        <w:t xml:space="preserve">placer </w:t>
      </w:r>
      <w:r w:rsidRPr="00D44BB9">
        <w:t>une couverture d'assurance</w:t>
      </w:r>
      <w:r w:rsidR="00164B36" w:rsidRPr="00D44BB9">
        <w:t>;</w:t>
      </w:r>
    </w:p>
    <w:p w:rsidR="00334EBD" w:rsidRPr="004C22D0" w:rsidRDefault="00334EBD" w:rsidP="003760AF">
      <w:pPr>
        <w:pStyle w:val="ORGenL1"/>
        <w:numPr>
          <w:ilvl w:val="0"/>
          <w:numId w:val="17"/>
        </w:numPr>
        <w:rPr>
          <w:i/>
        </w:rPr>
      </w:pPr>
      <w:r w:rsidRPr="00D44BB9">
        <w:rPr>
          <w:i/>
        </w:rPr>
        <w:t>[</w:t>
      </w:r>
      <w:r w:rsidR="003D3EC7" w:rsidRPr="00D44BB9">
        <w:rPr>
          <w:i/>
        </w:rPr>
        <w:t xml:space="preserve">gérer, exploiter et </w:t>
      </w:r>
      <w:r w:rsidR="00164B36" w:rsidRPr="00D44BB9">
        <w:rPr>
          <w:i/>
        </w:rPr>
        <w:t>poursuivre</w:t>
      </w:r>
      <w:r w:rsidR="003D3EC7" w:rsidRPr="00D44BB9">
        <w:rPr>
          <w:i/>
        </w:rPr>
        <w:t xml:space="preserve"> les affaires de l'intimé, incluant signer des ententes, </w:t>
      </w:r>
      <w:r w:rsidR="00164B36" w:rsidRPr="00D44BB9">
        <w:rPr>
          <w:i/>
        </w:rPr>
        <w:t>contracter</w:t>
      </w:r>
      <w:r w:rsidR="003D3EC7" w:rsidRPr="00D44BB9">
        <w:rPr>
          <w:i/>
        </w:rPr>
        <w:t xml:space="preserve"> et payer des </w:t>
      </w:r>
      <w:r w:rsidRPr="00D44BB9">
        <w:t>obligations</w:t>
      </w:r>
      <w:r w:rsidR="003D3EC7" w:rsidRPr="00D44BB9">
        <w:t xml:space="preserve"> dans le cours ordinaire des affaires, </w:t>
      </w:r>
      <w:r w:rsidR="00164B36" w:rsidRPr="00D44BB9">
        <w:t xml:space="preserve">mettre fin à </w:t>
      </w:r>
      <w:r w:rsidR="003D3EC7" w:rsidRPr="00D44BB9">
        <w:t xml:space="preserve">une partie ou </w:t>
      </w:r>
      <w:r w:rsidR="00F24BEC" w:rsidRPr="00D44BB9">
        <w:t xml:space="preserve">à </w:t>
      </w:r>
      <w:r w:rsidR="003D3EC7" w:rsidRPr="00D44BB9">
        <w:t>la totalité des a</w:t>
      </w:r>
      <w:r w:rsidR="00F24BEC" w:rsidRPr="00D44BB9">
        <w:t>ffaires</w:t>
      </w:r>
      <w:r w:rsidR="003D3EC7" w:rsidRPr="00D44BB9">
        <w:t>, ou mettre fin à tout contrat de l'intimé</w:t>
      </w:r>
      <w:r w:rsidRPr="00D44BB9">
        <w:t>;</w:t>
      </w:r>
      <w:r w:rsidRPr="00D44BB9">
        <w:rPr>
          <w:b/>
        </w:rPr>
        <w:t>]</w:t>
      </w:r>
    </w:p>
    <w:p w:rsidR="00334EBD" w:rsidRPr="004C22D0" w:rsidRDefault="003D3EC7" w:rsidP="003760AF">
      <w:pPr>
        <w:pStyle w:val="ORGenL1"/>
        <w:numPr>
          <w:ilvl w:val="0"/>
          <w:numId w:val="17"/>
        </w:numPr>
      </w:pPr>
      <w:r w:rsidRPr="00D44BB9">
        <w:t>engager des consultants, évaluateurs, agents, spécialistes, auditeurs, comptables, gérants, avocat</w:t>
      </w:r>
      <w:r w:rsidR="00F24BEC" w:rsidRPr="00D44BB9">
        <w:t>s</w:t>
      </w:r>
      <w:r w:rsidRPr="00D44BB9">
        <w:t xml:space="preserve"> et autre</w:t>
      </w:r>
      <w:r w:rsidR="00F24BEC" w:rsidRPr="00D44BB9">
        <w:t>s</w:t>
      </w:r>
      <w:r w:rsidRPr="00D44BB9">
        <w:t xml:space="preserve"> personne</w:t>
      </w:r>
      <w:r w:rsidR="00F24BEC" w:rsidRPr="00D44BB9">
        <w:t>s</w:t>
      </w:r>
      <w:r w:rsidRPr="00D44BB9">
        <w:t>, selon les besoins</w:t>
      </w:r>
      <w:r w:rsidR="00755263" w:rsidRPr="00D44BB9">
        <w:t>,</w:t>
      </w:r>
      <w:r w:rsidRPr="00D44BB9">
        <w:t xml:space="preserve"> de manière temporaire</w:t>
      </w:r>
      <w:r w:rsidR="00755263" w:rsidRPr="00D44BB9">
        <w:t xml:space="preserve"> ou autre</w:t>
      </w:r>
      <w:r w:rsidRPr="00D44BB9">
        <w:t>, pour aider le séquestre à exercer ses pouvoirs et s'acquitter de ses fonctions incluant</w:t>
      </w:r>
      <w:r w:rsidR="00F24BEC" w:rsidRPr="00D44BB9">
        <w:t>,</w:t>
      </w:r>
      <w:r w:rsidRPr="00D44BB9">
        <w:t xml:space="preserve"> sans s'y limiter, c</w:t>
      </w:r>
      <w:r w:rsidR="00F24BEC" w:rsidRPr="00D44BB9">
        <w:t>eux</w:t>
      </w:r>
      <w:r w:rsidRPr="00D44BB9">
        <w:t xml:space="preserve"> qui </w:t>
      </w:r>
      <w:r w:rsidR="00F24BEC" w:rsidRPr="00D44BB9">
        <w:t xml:space="preserve">lui </w:t>
      </w:r>
      <w:r w:rsidRPr="00D44BB9">
        <w:t>sont attribués par la présente ordonnance</w:t>
      </w:r>
      <w:r w:rsidR="00334EBD" w:rsidRPr="00D44BB9">
        <w:t>;</w:t>
      </w:r>
    </w:p>
    <w:p w:rsidR="00334EBD" w:rsidRPr="004C22D0" w:rsidRDefault="003D3EC7" w:rsidP="003760AF">
      <w:pPr>
        <w:pStyle w:val="ORGenL1"/>
        <w:numPr>
          <w:ilvl w:val="0"/>
          <w:numId w:val="17"/>
        </w:numPr>
      </w:pPr>
      <w:r w:rsidRPr="00D44BB9">
        <w:t>acheter ou louer</w:t>
      </w:r>
      <w:r w:rsidR="00F24BEC" w:rsidRPr="00D44BB9">
        <w:t xml:space="preserve"> de</w:t>
      </w:r>
      <w:r w:rsidRPr="00D44BB9">
        <w:t xml:space="preserve"> la machinerie, </w:t>
      </w:r>
      <w:r w:rsidR="00F24BEC" w:rsidRPr="00D44BB9">
        <w:t>d</w:t>
      </w:r>
      <w:r w:rsidRPr="00D44BB9">
        <w:t xml:space="preserve">es appareils, </w:t>
      </w:r>
      <w:r w:rsidR="00F24BEC" w:rsidRPr="00D44BB9">
        <w:t>d</w:t>
      </w:r>
      <w:r w:rsidRPr="00D44BB9">
        <w:t xml:space="preserve">es inventaires, </w:t>
      </w:r>
      <w:r w:rsidR="00F24BEC" w:rsidRPr="00D44BB9">
        <w:t>d</w:t>
      </w:r>
      <w:r w:rsidRPr="00D44BB9">
        <w:t xml:space="preserve">es fournitures, </w:t>
      </w:r>
      <w:r w:rsidR="00F24BEC" w:rsidRPr="00D44BB9">
        <w:t>d</w:t>
      </w:r>
      <w:r w:rsidRPr="00D44BB9">
        <w:t>es locaux ou d'autres</w:t>
      </w:r>
      <w:r w:rsidR="00164B36" w:rsidRPr="00D44BB9">
        <w:t xml:space="preserve"> éléments d’actifs</w:t>
      </w:r>
      <w:r w:rsidRPr="00D44BB9">
        <w:t xml:space="preserve"> pour poursuivre les a</w:t>
      </w:r>
      <w:r w:rsidR="00F24BEC" w:rsidRPr="00D44BB9">
        <w:t>ffaires</w:t>
      </w:r>
      <w:r w:rsidRPr="00D44BB9">
        <w:t xml:space="preserve"> de l'intimé, en totalité ou en partie</w:t>
      </w:r>
      <w:r w:rsidR="00164B36" w:rsidRPr="00D44BB9">
        <w:t>;</w:t>
      </w:r>
    </w:p>
    <w:p w:rsidR="00334EBD" w:rsidRPr="004C22D0" w:rsidRDefault="003D3EC7" w:rsidP="003760AF">
      <w:pPr>
        <w:pStyle w:val="ORGenL1"/>
        <w:numPr>
          <w:ilvl w:val="0"/>
          <w:numId w:val="17"/>
        </w:numPr>
      </w:pPr>
      <w:r w:rsidRPr="00D44BB9">
        <w:t xml:space="preserve">percevoir toutes les sommes et </w:t>
      </w:r>
      <w:r w:rsidR="00164B36" w:rsidRPr="00D44BB9">
        <w:t xml:space="preserve">recouvrer tous </w:t>
      </w:r>
      <w:r w:rsidRPr="00D44BB9">
        <w:t xml:space="preserve">les comptes </w:t>
      </w:r>
      <w:r w:rsidR="00164B36" w:rsidRPr="00D44BB9">
        <w:t>qui sont ou seront à recevoir par</w:t>
      </w:r>
      <w:r w:rsidRPr="00D44BB9">
        <w:t xml:space="preserve"> l'intimé et exercer tous les recours de l'intimé </w:t>
      </w:r>
      <w:r w:rsidR="00F24BEC" w:rsidRPr="00D44BB9">
        <w:t>dans la perception de</w:t>
      </w:r>
      <w:r w:rsidRPr="00D44BB9">
        <w:t xml:space="preserve"> ces sommes incluant</w:t>
      </w:r>
      <w:r w:rsidR="00164B36" w:rsidRPr="00D44BB9">
        <w:t>,</w:t>
      </w:r>
      <w:r w:rsidRPr="00D44BB9">
        <w:t xml:space="preserve"> sans s'y limiter, réaliser </w:t>
      </w:r>
      <w:r w:rsidR="00164B36" w:rsidRPr="00D44BB9">
        <w:t xml:space="preserve">toute </w:t>
      </w:r>
      <w:r w:rsidRPr="00D44BB9">
        <w:t>sûreté détenue par l'intimé</w:t>
      </w:r>
      <w:r w:rsidR="00334EBD" w:rsidRPr="00D44BB9">
        <w:t>;</w:t>
      </w:r>
    </w:p>
    <w:p w:rsidR="00334EBD" w:rsidRPr="004C22D0" w:rsidRDefault="00B16479" w:rsidP="003760AF">
      <w:pPr>
        <w:pStyle w:val="ORGenL1"/>
        <w:numPr>
          <w:ilvl w:val="0"/>
          <w:numId w:val="17"/>
        </w:numPr>
      </w:pPr>
      <w:r w:rsidRPr="00D44BB9">
        <w:t xml:space="preserve">régler toute dette due à l'intimé, </w:t>
      </w:r>
      <w:r w:rsidR="00164B36" w:rsidRPr="00D44BB9">
        <w:t xml:space="preserve">en prolonger le délai </w:t>
      </w:r>
      <w:r w:rsidRPr="00D44BB9">
        <w:t>ou faire une transaction à ce sujet</w:t>
      </w:r>
      <w:r w:rsidR="00164B36" w:rsidRPr="00D44BB9">
        <w:t>;</w:t>
      </w:r>
    </w:p>
    <w:p w:rsidR="00334EBD" w:rsidRPr="004C22D0" w:rsidRDefault="00B16479" w:rsidP="003760AF">
      <w:pPr>
        <w:pStyle w:val="ORGenL1"/>
        <w:numPr>
          <w:ilvl w:val="0"/>
          <w:numId w:val="17"/>
        </w:numPr>
      </w:pPr>
      <w:r w:rsidRPr="00D44BB9">
        <w:t xml:space="preserve">exécuter, </w:t>
      </w:r>
      <w:r w:rsidR="00F24BEC" w:rsidRPr="00D44BB9">
        <w:t>céder</w:t>
      </w:r>
      <w:r w:rsidRPr="00D44BB9">
        <w:t xml:space="preserve">, </w:t>
      </w:r>
      <w:r w:rsidR="00732495" w:rsidRPr="00D44BB9">
        <w:t>publier</w:t>
      </w:r>
      <w:r w:rsidRPr="00D44BB9">
        <w:t xml:space="preserve"> ou endosser des documents de quelque nat</w:t>
      </w:r>
      <w:r w:rsidR="003C165F" w:rsidRPr="00D44BB9">
        <w:t xml:space="preserve">ure que ce soit relatifs aux </w:t>
      </w:r>
      <w:r w:rsidRPr="00D44BB9">
        <w:t xml:space="preserve">biens, que ce soit au nom du séquestre ou au nom et au profit de l'intimé, pour </w:t>
      </w:r>
      <w:r w:rsidR="00164B36" w:rsidRPr="00D44BB9">
        <w:t xml:space="preserve">atteindre un </w:t>
      </w:r>
      <w:r w:rsidRPr="00D44BB9">
        <w:t>objectif visé par la présente ordonnance</w:t>
      </w:r>
      <w:r w:rsidR="00164B36" w:rsidRPr="00D44BB9">
        <w:t>;</w:t>
      </w:r>
    </w:p>
    <w:p w:rsidR="00334EBD" w:rsidRPr="004C22D0" w:rsidRDefault="00B16479" w:rsidP="003760AF">
      <w:pPr>
        <w:pStyle w:val="ORGenL1"/>
        <w:numPr>
          <w:ilvl w:val="0"/>
          <w:numId w:val="17"/>
        </w:numPr>
      </w:pPr>
      <w:r w:rsidRPr="00D44BB9">
        <w:t>entreprendre l'évaluation des biens et des activités de l'intimé du point de vue de l'environnement ou de la santé et de la sécurité des travailleurs</w:t>
      </w:r>
      <w:r w:rsidR="00164B36" w:rsidRPr="00D44BB9">
        <w:t>;</w:t>
      </w:r>
    </w:p>
    <w:p w:rsidR="00334EBD" w:rsidRPr="004C22D0" w:rsidRDefault="00B16479" w:rsidP="003760AF">
      <w:pPr>
        <w:pStyle w:val="ORGenL1"/>
        <w:numPr>
          <w:ilvl w:val="0"/>
          <w:numId w:val="17"/>
        </w:numPr>
      </w:pPr>
      <w:r w:rsidRPr="00D44BB9">
        <w:t xml:space="preserve">introduire, effectuer et poursuivre l'exécution de toute procédure et défendre toutes les procédures en attente ou qui seront </w:t>
      </w:r>
      <w:r w:rsidR="00164B36" w:rsidRPr="00D44BB9">
        <w:t xml:space="preserve">intentées </w:t>
      </w:r>
      <w:r w:rsidRPr="00D44BB9">
        <w:t xml:space="preserve">par la suite en ce qui concerne les biens ou le séquestre et régler ces procédures ou faire une transaction à ce </w:t>
      </w:r>
      <w:r w:rsidR="00BD0B01" w:rsidRPr="00D44BB9">
        <w:t>sujet. Le</w:t>
      </w:r>
      <w:r w:rsidRPr="00D44BB9">
        <w:t xml:space="preserve"> pouvoir attribué </w:t>
      </w:r>
      <w:r w:rsidR="00164B36" w:rsidRPr="00D44BB9">
        <w:t>ici</w:t>
      </w:r>
      <w:r w:rsidRPr="00D44BB9">
        <w:t xml:space="preserve"> inclut les appels ou les demandes de révision judiciaire </w:t>
      </w:r>
      <w:r w:rsidR="00943063" w:rsidRPr="00D44BB9">
        <w:t>relatifs à</w:t>
      </w:r>
      <w:r w:rsidRPr="00D44BB9">
        <w:t xml:space="preserve"> toute ordonnance ou tout jugement prononcé au cours de ces procédures</w:t>
      </w:r>
      <w:r w:rsidR="00164B36" w:rsidRPr="00D44BB9">
        <w:t>;</w:t>
      </w:r>
    </w:p>
    <w:p w:rsidR="00B77CB5" w:rsidRPr="004C22D0" w:rsidRDefault="00B16479" w:rsidP="003760AF">
      <w:pPr>
        <w:pStyle w:val="ORGenL1"/>
        <w:numPr>
          <w:ilvl w:val="0"/>
          <w:numId w:val="17"/>
        </w:numPr>
      </w:pPr>
      <w:r w:rsidRPr="00D44BB9">
        <w:t>pa</w:t>
      </w:r>
      <w:r w:rsidR="00164B36" w:rsidRPr="00D44BB9">
        <w:t>yer</w:t>
      </w:r>
      <w:r w:rsidRPr="00D44BB9">
        <w:t xml:space="preserve"> une partie ou la totalité des coûts, dépenses et autres sommes selon ce que le séquestre détermine, à sa seule discrétion, comme </w:t>
      </w:r>
      <w:r w:rsidR="00164B36" w:rsidRPr="00D44BB9">
        <w:t xml:space="preserve">étant </w:t>
      </w:r>
      <w:r w:rsidRPr="00D44BB9">
        <w:t>nécessaire ou souhaitable pour préserver, protéger ou maintenir les biens incluant, sans s'y limiter, les</w:t>
      </w:r>
      <w:r w:rsidR="00164B36" w:rsidRPr="00D44BB9">
        <w:t xml:space="preserve"> impôts</w:t>
      </w:r>
      <w:r w:rsidRPr="00D44BB9">
        <w:t>, taxes municipales, primes d'assurance, coûts de réparation et d'entretien, coûts ou charges liés à la s</w:t>
      </w:r>
      <w:r w:rsidR="00164B36" w:rsidRPr="00D44BB9">
        <w:t>écurit</w:t>
      </w:r>
      <w:r w:rsidRPr="00D44BB9">
        <w:t xml:space="preserve">é, honoraires de gestion et coûts et débours </w:t>
      </w:r>
      <w:r w:rsidR="00F24BEC" w:rsidRPr="00D44BB9">
        <w:t>engagés</w:t>
      </w:r>
      <w:r w:rsidRPr="00D44BB9">
        <w:t xml:space="preserve"> par tout gestionnaire nommé par le séquestre</w:t>
      </w:r>
      <w:r w:rsidR="00334EBD" w:rsidRPr="00D44BB9">
        <w:t>;</w:t>
      </w:r>
    </w:p>
    <w:p w:rsidR="00334EBD" w:rsidRPr="004C22D0" w:rsidRDefault="00B16479" w:rsidP="003760AF">
      <w:pPr>
        <w:pStyle w:val="ORGenL1"/>
        <w:numPr>
          <w:ilvl w:val="0"/>
          <w:numId w:val="17"/>
        </w:numPr>
      </w:pPr>
      <w:r w:rsidRPr="00D44BB9">
        <w:t xml:space="preserve">mettre en marché une partie ou la totalité des biens, incluant faire de la publicité et </w:t>
      </w:r>
      <w:r w:rsidR="00F24BEC" w:rsidRPr="00D44BB9">
        <w:t>des appels d’offres relativement aux</w:t>
      </w:r>
      <w:r w:rsidRPr="00D44BB9">
        <w:t xml:space="preserve"> biens</w:t>
      </w:r>
      <w:r w:rsidR="00F24BEC" w:rsidRPr="00D44BB9">
        <w:t>,</w:t>
      </w:r>
      <w:r w:rsidRPr="00D44BB9">
        <w:t xml:space="preserve"> </w:t>
      </w:r>
      <w:r w:rsidR="00F24BEC" w:rsidRPr="00D44BB9">
        <w:t xml:space="preserve">en totalité ou en partie, </w:t>
      </w:r>
      <w:r w:rsidRPr="00D44BB9">
        <w:t>et négocier les modalités de vente selon ce que le séquestre juge approprié, à sa discrétion</w:t>
      </w:r>
      <w:r w:rsidR="00164B36" w:rsidRPr="00D44BB9">
        <w:t>;</w:t>
      </w:r>
    </w:p>
    <w:p w:rsidR="00334EBD" w:rsidRPr="004C22D0" w:rsidRDefault="00F24BEC" w:rsidP="003760AF">
      <w:pPr>
        <w:pStyle w:val="ORGenL1"/>
        <w:numPr>
          <w:ilvl w:val="0"/>
          <w:numId w:val="17"/>
        </w:numPr>
      </w:pPr>
      <w:r w:rsidRPr="00D44BB9">
        <w:t>procéder à la v</w:t>
      </w:r>
      <w:r w:rsidR="006445A9" w:rsidRPr="00D44BB9">
        <w:t>en</w:t>
      </w:r>
      <w:r w:rsidRPr="00D44BB9">
        <w:t>t</w:t>
      </w:r>
      <w:r w:rsidR="006445A9" w:rsidRPr="00D44BB9">
        <w:t xml:space="preserve">e, </w:t>
      </w:r>
      <w:r w:rsidRPr="00D44BB9">
        <w:t xml:space="preserve">au transfert, à la location ou à la cession des </w:t>
      </w:r>
      <w:r w:rsidR="006445A9" w:rsidRPr="00D44BB9">
        <w:t>biens, en totalité ou en partie, dans le cours ordinaire des affaires</w:t>
      </w:r>
      <w:r w:rsidR="00334EBD" w:rsidRPr="00D44BB9">
        <w:t>,</w:t>
      </w:r>
    </w:p>
    <w:p w:rsidR="00334EBD" w:rsidRPr="004C22D0" w:rsidRDefault="006445A9" w:rsidP="0059793D">
      <w:pPr>
        <w:pStyle w:val="ORGenL1"/>
        <w:numPr>
          <w:ilvl w:val="0"/>
          <w:numId w:val="18"/>
        </w:numPr>
        <w:ind w:left="2400"/>
      </w:pPr>
      <w:r w:rsidRPr="00D44BB9">
        <w:t xml:space="preserve">sans l'approbation du tribunal pour ce qui est de toute transaction ne dépassant pas </w:t>
      </w:r>
      <w:r w:rsidR="00297E25" w:rsidRPr="00D44BB9">
        <w:rPr>
          <w:u w:val="single"/>
        </w:rPr>
        <w:fldChar w:fldCharType="begin">
          <w:ffData>
            <w:name w:val="Text1"/>
            <w:enabled/>
            <w:calcOnExit w:val="0"/>
            <w:textInput/>
          </w:ffData>
        </w:fldChar>
      </w:r>
      <w:r w:rsidR="00334EBD" w:rsidRPr="00D44BB9">
        <w:rPr>
          <w:u w:val="single"/>
        </w:rPr>
        <w:instrText xml:space="preserve"> FORMTEXT </w:instrText>
      </w:r>
      <w:r w:rsidR="00297E25" w:rsidRPr="00D44BB9">
        <w:rPr>
          <w:u w:val="single"/>
        </w:rPr>
      </w:r>
      <w:r w:rsidR="00297E25" w:rsidRPr="00D44BB9">
        <w:rPr>
          <w:u w:val="single"/>
        </w:rPr>
        <w:fldChar w:fldCharType="separate"/>
      </w:r>
      <w:r w:rsidR="00334EBD" w:rsidRPr="00D44BB9">
        <w:rPr>
          <w:u w:val="single"/>
        </w:rPr>
        <w:t> </w:t>
      </w:r>
      <w:r w:rsidR="00334EBD" w:rsidRPr="00D44BB9">
        <w:rPr>
          <w:u w:val="single"/>
        </w:rPr>
        <w:t> </w:t>
      </w:r>
      <w:r w:rsidR="00334EBD" w:rsidRPr="00D44BB9">
        <w:rPr>
          <w:u w:val="single"/>
        </w:rPr>
        <w:t> </w:t>
      </w:r>
      <w:r w:rsidR="00334EBD" w:rsidRPr="00D44BB9">
        <w:rPr>
          <w:u w:val="single"/>
        </w:rPr>
        <w:t> </w:t>
      </w:r>
      <w:r w:rsidR="00334EBD" w:rsidRPr="00D44BB9">
        <w:rPr>
          <w:u w:val="single"/>
        </w:rPr>
        <w:t> </w:t>
      </w:r>
      <w:r w:rsidR="00297E25" w:rsidRPr="00D44BB9">
        <w:rPr>
          <w:u w:val="single"/>
        </w:rPr>
        <w:fldChar w:fldCharType="end"/>
      </w:r>
      <w:r w:rsidRPr="00D44BB9">
        <w:t> $</w:t>
      </w:r>
      <w:r w:rsidR="00334EBD" w:rsidRPr="00D44BB9">
        <w:t>,</w:t>
      </w:r>
      <w:r w:rsidRPr="00D44BB9">
        <w:t xml:space="preserve"> </w:t>
      </w:r>
      <w:r w:rsidR="00164B36" w:rsidRPr="00D44BB9">
        <w:t>sous réserve</w:t>
      </w:r>
      <w:r w:rsidRPr="00D44BB9">
        <w:t xml:space="preserve"> que l'ensemble de </w:t>
      </w:r>
      <w:r w:rsidR="00F24BEC" w:rsidRPr="00D44BB9">
        <w:t>telles</w:t>
      </w:r>
      <w:r w:rsidRPr="00D44BB9">
        <w:t xml:space="preserve"> transactions ne dépasse pas </w:t>
      </w:r>
      <w:r w:rsidR="00297E25" w:rsidRPr="00D44BB9">
        <w:rPr>
          <w:u w:val="single"/>
        </w:rPr>
        <w:fldChar w:fldCharType="begin">
          <w:ffData>
            <w:name w:val="Text1"/>
            <w:enabled/>
            <w:calcOnExit w:val="0"/>
            <w:textInput/>
          </w:ffData>
        </w:fldChar>
      </w:r>
      <w:r w:rsidR="00334EBD" w:rsidRPr="00D44BB9">
        <w:rPr>
          <w:u w:val="single"/>
        </w:rPr>
        <w:instrText xml:space="preserve"> FORMTEXT </w:instrText>
      </w:r>
      <w:r w:rsidR="00297E25" w:rsidRPr="00D44BB9">
        <w:rPr>
          <w:u w:val="single"/>
        </w:rPr>
      </w:r>
      <w:r w:rsidR="00297E25" w:rsidRPr="00D44BB9">
        <w:rPr>
          <w:u w:val="single"/>
        </w:rPr>
        <w:fldChar w:fldCharType="separate"/>
      </w:r>
      <w:r w:rsidR="00334EBD" w:rsidRPr="00D44BB9">
        <w:rPr>
          <w:u w:val="single"/>
        </w:rPr>
        <w:t> </w:t>
      </w:r>
      <w:r w:rsidR="00334EBD" w:rsidRPr="00D44BB9">
        <w:rPr>
          <w:u w:val="single"/>
        </w:rPr>
        <w:t> </w:t>
      </w:r>
      <w:r w:rsidR="00334EBD" w:rsidRPr="00D44BB9">
        <w:rPr>
          <w:u w:val="single"/>
        </w:rPr>
        <w:t> </w:t>
      </w:r>
      <w:r w:rsidR="00334EBD" w:rsidRPr="00D44BB9">
        <w:rPr>
          <w:u w:val="single"/>
        </w:rPr>
        <w:t> </w:t>
      </w:r>
      <w:r w:rsidR="00334EBD" w:rsidRPr="00D44BB9">
        <w:rPr>
          <w:u w:val="single"/>
        </w:rPr>
        <w:t> </w:t>
      </w:r>
      <w:r w:rsidR="00297E25" w:rsidRPr="00D44BB9">
        <w:rPr>
          <w:u w:val="single"/>
        </w:rPr>
        <w:fldChar w:fldCharType="end"/>
      </w:r>
      <w:r w:rsidRPr="00D44BB9">
        <w:t> $</w:t>
      </w:r>
      <w:r w:rsidR="00F24BEC" w:rsidRPr="00D44BB9">
        <w:t>,</w:t>
      </w:r>
    </w:p>
    <w:p w:rsidR="00334EBD" w:rsidRPr="004C22D0" w:rsidRDefault="006445A9" w:rsidP="0059793D">
      <w:pPr>
        <w:pStyle w:val="ORGenL1"/>
        <w:numPr>
          <w:ilvl w:val="0"/>
          <w:numId w:val="18"/>
        </w:numPr>
        <w:ind w:left="2400"/>
      </w:pPr>
      <w:r w:rsidRPr="00D44BB9">
        <w:t xml:space="preserve">avec l'approbation du tribunal pour ce qui est de toute transaction dans laquelle le prix d'achat </w:t>
      </w:r>
      <w:r w:rsidR="00F24BEC" w:rsidRPr="00D44BB9">
        <w:t xml:space="preserve">d’un bien ou d’un ensemble de biens </w:t>
      </w:r>
      <w:r w:rsidRPr="00D44BB9">
        <w:t xml:space="preserve">dépasse le montant applicable </w:t>
      </w:r>
      <w:r w:rsidR="00F24BEC" w:rsidRPr="00D44BB9">
        <w:t>prévu au</w:t>
      </w:r>
      <w:r w:rsidR="00164B36" w:rsidRPr="00D44BB9">
        <w:t xml:space="preserve"> paragraphe</w:t>
      </w:r>
      <w:r w:rsidR="00F24BEC" w:rsidRPr="00D44BB9">
        <w:t xml:space="preserve"> précédent</w:t>
      </w:r>
      <w:r w:rsidR="00164B36" w:rsidRPr="00D44BB9">
        <w:t>;</w:t>
      </w:r>
    </w:p>
    <w:p w:rsidR="00B77CB5" w:rsidRPr="004C22D0" w:rsidRDefault="006445A9" w:rsidP="006F642C">
      <w:pPr>
        <w:pStyle w:val="ORGenL3"/>
        <w:rPr>
          <w:lang w:val="fr-CA"/>
        </w:rPr>
      </w:pPr>
      <w:proofErr w:type="gramStart"/>
      <w:r w:rsidRPr="00D44BB9">
        <w:rPr>
          <w:lang w:val="fr-CA"/>
        </w:rPr>
        <w:t>et</w:t>
      </w:r>
      <w:proofErr w:type="gramEnd"/>
      <w:r w:rsidRPr="00D44BB9">
        <w:rPr>
          <w:lang w:val="fr-CA"/>
        </w:rPr>
        <w:t xml:space="preserve"> dans </w:t>
      </w:r>
      <w:r w:rsidR="00164B36" w:rsidRPr="00D44BB9">
        <w:rPr>
          <w:lang w:val="fr-CA"/>
        </w:rPr>
        <w:t>chacun de ces</w:t>
      </w:r>
      <w:r w:rsidRPr="00D44BB9">
        <w:rPr>
          <w:lang w:val="fr-CA"/>
        </w:rPr>
        <w:t xml:space="preserve"> cas, l'avis </w:t>
      </w:r>
      <w:r w:rsidR="00F24BEC" w:rsidRPr="00D44BB9">
        <w:rPr>
          <w:lang w:val="fr-CA"/>
        </w:rPr>
        <w:t xml:space="preserve">prévu à </w:t>
      </w:r>
      <w:r w:rsidRPr="00D44BB9">
        <w:rPr>
          <w:lang w:val="fr-CA"/>
        </w:rPr>
        <w:t xml:space="preserve">l'article 59 de la </w:t>
      </w:r>
      <w:r w:rsidRPr="00D44BB9">
        <w:rPr>
          <w:i/>
          <w:lang w:val="fr-CA"/>
        </w:rPr>
        <w:t>Loi sur les sûretés relatives aux biens personnels</w:t>
      </w:r>
      <w:r w:rsidRPr="00D44BB9">
        <w:rPr>
          <w:lang w:val="fr-CA"/>
        </w:rPr>
        <w:t xml:space="preserve"> (Nouveau-Brunswick) n'est pas exigé</w:t>
      </w:r>
      <w:r w:rsidR="00F24BEC" w:rsidRPr="00D44BB9">
        <w:rPr>
          <w:lang w:val="fr-CA"/>
        </w:rPr>
        <w:t>;</w:t>
      </w:r>
    </w:p>
    <w:p w:rsidR="00B77CB5" w:rsidRPr="004C22D0" w:rsidRDefault="006445A9" w:rsidP="003760AF">
      <w:pPr>
        <w:pStyle w:val="ORGenL1"/>
        <w:numPr>
          <w:ilvl w:val="0"/>
          <w:numId w:val="17"/>
        </w:numPr>
      </w:pPr>
      <w:r w:rsidRPr="00D44BB9">
        <w:t xml:space="preserve">demander une ordonnance de dévolution ou toute autre ordonnance nécessaire pour </w:t>
      </w:r>
      <w:r w:rsidR="00164B36" w:rsidRPr="00D44BB9">
        <w:t>transférer</w:t>
      </w:r>
      <w:r w:rsidRPr="00D44BB9">
        <w:t xml:space="preserve"> les biens en totalité ou en partie vers un ou des acheteurs, </w:t>
      </w:r>
      <w:r w:rsidR="00164B36" w:rsidRPr="00D44BB9">
        <w:t xml:space="preserve">ces biens étant </w:t>
      </w:r>
      <w:r w:rsidRPr="00D44BB9">
        <w:t xml:space="preserve">francs et quittes de tout privilège ou </w:t>
      </w:r>
      <w:proofErr w:type="spellStart"/>
      <w:r w:rsidRPr="00D44BB9">
        <w:t>grèvement</w:t>
      </w:r>
      <w:proofErr w:type="spellEnd"/>
      <w:r w:rsidR="00164B36" w:rsidRPr="00D44BB9">
        <w:t>;</w:t>
      </w:r>
    </w:p>
    <w:p w:rsidR="00334EBD" w:rsidRPr="004C22D0" w:rsidRDefault="006445A9" w:rsidP="003760AF">
      <w:pPr>
        <w:pStyle w:val="ORGenL1"/>
        <w:numPr>
          <w:ilvl w:val="0"/>
          <w:numId w:val="17"/>
        </w:numPr>
      </w:pPr>
      <w:r w:rsidRPr="00D44BB9">
        <w:t>faire un rapport aux personnes touchées (définies ci-après), les rencontrer et discuter avec elles, selon ce que le séquestre juge approprié</w:t>
      </w:r>
      <w:r w:rsidR="00164B36" w:rsidRPr="00D44BB9">
        <w:t>, relativement à</w:t>
      </w:r>
      <w:r w:rsidRPr="00D44BB9">
        <w:t xml:space="preserve"> toutes les questions liées aux biens et à la mise sous séquestre et </w:t>
      </w:r>
      <w:r w:rsidR="00742931" w:rsidRPr="00D44BB9">
        <w:t>communiquer</w:t>
      </w:r>
      <w:r w:rsidRPr="00D44BB9">
        <w:t xml:space="preserve"> de</w:t>
      </w:r>
      <w:r w:rsidR="00742931" w:rsidRPr="00D44BB9">
        <w:t>s</w:t>
      </w:r>
      <w:r w:rsidRPr="00D44BB9">
        <w:t xml:space="preserve"> renseignements, sous réserve des conditions </w:t>
      </w:r>
      <w:r w:rsidR="00164B36" w:rsidRPr="00D44BB9">
        <w:t>de</w:t>
      </w:r>
      <w:r w:rsidRPr="00D44BB9">
        <w:t xml:space="preserve"> confidentialité</w:t>
      </w:r>
      <w:r w:rsidR="00A669BE" w:rsidRPr="00D44BB9">
        <w:t>,</w:t>
      </w:r>
      <w:r w:rsidRPr="00D44BB9">
        <w:t xml:space="preserve"> selon ce que le séquestre juge souhaitable</w:t>
      </w:r>
      <w:r w:rsidR="00164B36" w:rsidRPr="00D44BB9">
        <w:t>;</w:t>
      </w:r>
    </w:p>
    <w:p w:rsidR="00334EBD" w:rsidRPr="004C22D0" w:rsidRDefault="006445A9" w:rsidP="003760AF">
      <w:pPr>
        <w:pStyle w:val="ORGenL1"/>
        <w:numPr>
          <w:ilvl w:val="0"/>
          <w:numId w:val="17"/>
        </w:numPr>
      </w:pPr>
      <w:r w:rsidRPr="00D44BB9">
        <w:t xml:space="preserve">enregistrer une copie de la présente ordonnance et de toute autre ordonnance </w:t>
      </w:r>
      <w:r w:rsidR="00164B36" w:rsidRPr="00D44BB9">
        <w:t>concernant</w:t>
      </w:r>
      <w:r w:rsidRPr="00D44BB9">
        <w:t xml:space="preserve"> les biens </w:t>
      </w:r>
      <w:r w:rsidR="00164B36" w:rsidRPr="00D44BB9">
        <w:t>à l’encontre du</w:t>
      </w:r>
      <w:r w:rsidRPr="00D44BB9">
        <w:t xml:space="preserve"> titre de l'un des biens</w:t>
      </w:r>
      <w:r w:rsidR="00164B36" w:rsidRPr="00D44BB9">
        <w:t>;</w:t>
      </w:r>
    </w:p>
    <w:p w:rsidR="00334EBD" w:rsidRPr="004C22D0" w:rsidRDefault="006445A9" w:rsidP="003760AF">
      <w:pPr>
        <w:pStyle w:val="ORGenL1"/>
        <w:numPr>
          <w:ilvl w:val="0"/>
          <w:numId w:val="17"/>
        </w:numPr>
      </w:pPr>
      <w:r w:rsidRPr="00D44BB9">
        <w:t>demander</w:t>
      </w:r>
      <w:r w:rsidR="00164B36" w:rsidRPr="00D44BB9">
        <w:t xml:space="preserve">, </w:t>
      </w:r>
      <w:r w:rsidR="00A669BE" w:rsidRPr="00D44BB9">
        <w:t xml:space="preserve">en faveur </w:t>
      </w:r>
      <w:r w:rsidR="00164B36" w:rsidRPr="00D44BB9">
        <w:t>de l'intimé</w:t>
      </w:r>
      <w:r w:rsidR="00A669BE" w:rsidRPr="00D44BB9">
        <w:t xml:space="preserve"> et</w:t>
      </w:r>
      <w:r w:rsidR="00164B36" w:rsidRPr="00D44BB9">
        <w:t>,</w:t>
      </w:r>
      <w:r w:rsidRPr="00D44BB9">
        <w:t xml:space="preserve"> </w:t>
      </w:r>
      <w:r w:rsidR="00A669BE" w:rsidRPr="00D44BB9">
        <w:t>si le séquestre le juge souhaitable, au nom de l’intimé, les</w:t>
      </w:r>
      <w:r w:rsidRPr="00D44BB9">
        <w:t xml:space="preserve"> permis, licence</w:t>
      </w:r>
      <w:r w:rsidR="00A669BE" w:rsidRPr="00D44BB9">
        <w:t>s</w:t>
      </w:r>
      <w:r w:rsidRPr="00D44BB9">
        <w:t>, approbation</w:t>
      </w:r>
      <w:r w:rsidR="00A669BE" w:rsidRPr="00D44BB9">
        <w:t>s</w:t>
      </w:r>
      <w:r w:rsidRPr="00D44BB9">
        <w:t xml:space="preserve"> ou permission</w:t>
      </w:r>
      <w:r w:rsidR="00A669BE" w:rsidRPr="00D44BB9">
        <w:t>s</w:t>
      </w:r>
      <w:r w:rsidRPr="00D44BB9">
        <w:t xml:space="preserve"> susceptible</w:t>
      </w:r>
      <w:r w:rsidR="00A669BE" w:rsidRPr="00D44BB9">
        <w:t>s</w:t>
      </w:r>
      <w:r w:rsidRPr="00D44BB9">
        <w:t xml:space="preserve"> d'être exigé</w:t>
      </w:r>
      <w:r w:rsidR="00A669BE" w:rsidRPr="00D44BB9">
        <w:t>s</w:t>
      </w:r>
      <w:r w:rsidRPr="00D44BB9">
        <w:t xml:space="preserve"> d'une autorité gouvernementale et tout renouvellement </w:t>
      </w:r>
      <w:r w:rsidR="00A669BE" w:rsidRPr="00D44BB9">
        <w:t>correspondant</w:t>
      </w:r>
      <w:r w:rsidR="00164B36" w:rsidRPr="00D44BB9">
        <w:t>;</w:t>
      </w:r>
    </w:p>
    <w:p w:rsidR="00B77CB5" w:rsidRPr="004C22D0" w:rsidRDefault="00164B36" w:rsidP="003760AF">
      <w:pPr>
        <w:pStyle w:val="ORGenL1"/>
        <w:numPr>
          <w:ilvl w:val="0"/>
          <w:numId w:val="17"/>
        </w:numPr>
      </w:pPr>
      <w:r w:rsidRPr="00D44BB9">
        <w:t>participer à un accord</w:t>
      </w:r>
      <w:r w:rsidR="006445A9" w:rsidRPr="00D44BB9">
        <w:t xml:space="preserve"> avec tout syndic d</w:t>
      </w:r>
      <w:r w:rsidRPr="00D44BB9">
        <w:t>’</w:t>
      </w:r>
      <w:r w:rsidR="006445A9" w:rsidRPr="00D44BB9">
        <w:t>une faillite nommé à l'égard de l'intimé incluant, sans limiter</w:t>
      </w:r>
      <w:r w:rsidRPr="00D44BB9">
        <w:t xml:space="preserve"> le caractère général de ce qui précède</w:t>
      </w:r>
      <w:r w:rsidR="006445A9" w:rsidRPr="00D44BB9">
        <w:t xml:space="preserve">, </w:t>
      </w:r>
      <w:r w:rsidRPr="00D44BB9">
        <w:t xml:space="preserve">participer à un accord </w:t>
      </w:r>
      <w:r w:rsidR="006445A9" w:rsidRPr="00D44BB9">
        <w:t>relati</w:t>
      </w:r>
      <w:r w:rsidRPr="00D44BB9">
        <w:t>f</w:t>
      </w:r>
      <w:r w:rsidR="006445A9" w:rsidRPr="00D44BB9">
        <w:t xml:space="preserve"> à l'occupation de tout bien appartenant à l'intimé ou loué par lui</w:t>
      </w:r>
      <w:r w:rsidRPr="00D44BB9">
        <w:t>;</w:t>
      </w:r>
    </w:p>
    <w:p w:rsidR="00334EBD" w:rsidRPr="004C22D0" w:rsidRDefault="00972FB9" w:rsidP="003760AF">
      <w:pPr>
        <w:pStyle w:val="ORGenL1"/>
        <w:numPr>
          <w:ilvl w:val="0"/>
          <w:numId w:val="17"/>
        </w:numPr>
      </w:pPr>
      <w:r w:rsidRPr="00D44BB9">
        <w:t>exercer les droits d</w:t>
      </w:r>
      <w:r w:rsidR="00A669BE" w:rsidRPr="00D44BB9">
        <w:t>’</w:t>
      </w:r>
      <w:r w:rsidRPr="00D44BB9">
        <w:t xml:space="preserve">actionnaire, </w:t>
      </w:r>
      <w:r w:rsidR="00A669BE" w:rsidRPr="00D44BB9">
        <w:t>société de personne</w:t>
      </w:r>
      <w:r w:rsidRPr="00D44BB9">
        <w:t xml:space="preserve">, coentreprise ou autres droits </w:t>
      </w:r>
      <w:r w:rsidR="00A669BE" w:rsidRPr="00D44BB9">
        <w:t>d</w:t>
      </w:r>
      <w:r w:rsidRPr="00D44BB9">
        <w:t>e l'intimé</w:t>
      </w:r>
      <w:r w:rsidR="00164B36" w:rsidRPr="00D44BB9">
        <w:t>;</w:t>
      </w:r>
      <w:r w:rsidRPr="00D44BB9">
        <w:t xml:space="preserve"> </w:t>
      </w:r>
    </w:p>
    <w:p w:rsidR="00334EBD" w:rsidRPr="004C22D0" w:rsidRDefault="00972FB9" w:rsidP="003760AF">
      <w:pPr>
        <w:pStyle w:val="ORGenL1"/>
        <w:numPr>
          <w:ilvl w:val="0"/>
          <w:numId w:val="17"/>
        </w:numPr>
      </w:pPr>
      <w:r w:rsidRPr="00D44BB9">
        <w:t xml:space="preserve">prendre toute mesure </w:t>
      </w:r>
      <w:r w:rsidR="00164B36" w:rsidRPr="00D44BB9">
        <w:t>raisonnable</w:t>
      </w:r>
      <w:r w:rsidR="00A669BE" w:rsidRPr="00D44BB9">
        <w:t>ment</w:t>
      </w:r>
      <w:r w:rsidR="00164B36" w:rsidRPr="00D44BB9">
        <w:t xml:space="preserve"> connexe </w:t>
      </w:r>
      <w:r w:rsidRPr="00D44BB9">
        <w:t xml:space="preserve">à l'exercice de ces pouvoirs ou </w:t>
      </w:r>
      <w:r w:rsidR="00164B36" w:rsidRPr="00D44BB9">
        <w:t xml:space="preserve">à l’exécution </w:t>
      </w:r>
      <w:r w:rsidRPr="00D44BB9">
        <w:t>de toute obligation statutaire</w:t>
      </w:r>
      <w:r w:rsidR="00164B36" w:rsidRPr="00D44BB9">
        <w:t>;</w:t>
      </w:r>
    </w:p>
    <w:p w:rsidR="00334EBD" w:rsidRPr="004C22D0" w:rsidRDefault="00972FB9" w:rsidP="003760AF">
      <w:pPr>
        <w:pStyle w:val="ORGenL1"/>
        <w:numPr>
          <w:ilvl w:val="0"/>
          <w:numId w:val="0"/>
        </w:numPr>
        <w:ind w:left="840"/>
      </w:pPr>
      <w:proofErr w:type="gramStart"/>
      <w:r w:rsidRPr="00D44BB9">
        <w:t>et</w:t>
      </w:r>
      <w:proofErr w:type="gramEnd"/>
      <w:r w:rsidRPr="00D44BB9">
        <w:t xml:space="preserve"> dans chaque cas o</w:t>
      </w:r>
      <w:r w:rsidR="00164B36" w:rsidRPr="00D44BB9">
        <w:t>ù</w:t>
      </w:r>
      <w:r w:rsidRPr="00D44BB9">
        <w:t xml:space="preserve"> le séquestre prend une telle mesure ou fait une telle démarche, il sera exclusivement autorisé et habilité à le faire, à l'exclusion de</w:t>
      </w:r>
      <w:r w:rsidR="00164B36" w:rsidRPr="00D44BB9">
        <w:t>s</w:t>
      </w:r>
      <w:r w:rsidRPr="00D44BB9">
        <w:t xml:space="preserve"> autre</w:t>
      </w:r>
      <w:r w:rsidR="00164B36" w:rsidRPr="00D44BB9">
        <w:t>s</w:t>
      </w:r>
      <w:r w:rsidRPr="00D44BB9">
        <w:t xml:space="preserve"> personne</w:t>
      </w:r>
      <w:r w:rsidR="00164B36" w:rsidRPr="00D44BB9">
        <w:t>s</w:t>
      </w:r>
      <w:r w:rsidRPr="00D44BB9">
        <w:t xml:space="preserve"> (définie</w:t>
      </w:r>
      <w:r w:rsidR="00164B36" w:rsidRPr="00D44BB9">
        <w:t>s</w:t>
      </w:r>
      <w:r w:rsidRPr="00D44BB9">
        <w:t xml:space="preserve"> ci-dessous), incluant l'intimé, et sans in</w:t>
      </w:r>
      <w:r w:rsidR="00A669BE" w:rsidRPr="00D44BB9">
        <w:t>gérence</w:t>
      </w:r>
      <w:r w:rsidRPr="00D44BB9">
        <w:t xml:space="preserve"> de toute autre personne</w:t>
      </w:r>
      <w:r w:rsidR="00334EBD" w:rsidRPr="00D44BB9">
        <w:t>.</w:t>
      </w:r>
    </w:p>
    <w:p w:rsidR="00334EBD" w:rsidRPr="004C22D0" w:rsidRDefault="00972FB9" w:rsidP="00C17025">
      <w:pPr>
        <w:pStyle w:val="ORMainHeading"/>
        <w:widowControl/>
        <w:rPr>
          <w:rFonts w:ascii="Franklin Gothic Book" w:hAnsi="Franklin Gothic Book"/>
          <w:lang w:val="fr-CA"/>
        </w:rPr>
      </w:pPr>
      <w:bookmarkStart w:id="0" w:name="_DV_M54"/>
      <w:bookmarkStart w:id="1" w:name="_DV_M55"/>
      <w:bookmarkEnd w:id="0"/>
      <w:bookmarkEnd w:id="1"/>
      <w:r w:rsidRPr="00D44BB9">
        <w:rPr>
          <w:rFonts w:ascii="Franklin Gothic Book" w:hAnsi="Franklin Gothic Book"/>
          <w:lang w:val="fr-CA"/>
        </w:rPr>
        <w:t>Devoir de fournir au séquestre accès et coopération</w:t>
      </w:r>
    </w:p>
    <w:p w:rsidR="00334EBD" w:rsidRPr="004C22D0" w:rsidRDefault="00972FB9" w:rsidP="003760AF">
      <w:pPr>
        <w:pStyle w:val="ORGenL1"/>
      </w:pPr>
      <w:bookmarkStart w:id="2" w:name="_DV_M56"/>
      <w:bookmarkEnd w:id="2"/>
      <w:r w:rsidRPr="00D44BB9">
        <w:t>L'intimé, tou</w:t>
      </w:r>
      <w:r w:rsidR="00175EF5" w:rsidRPr="00D44BB9">
        <w:t>t</w:t>
      </w:r>
      <w:r w:rsidRPr="00D44BB9">
        <w:t xml:space="preserve"> </w:t>
      </w:r>
      <w:r w:rsidR="00175EF5" w:rsidRPr="00D44BB9">
        <w:t>son personnel</w:t>
      </w:r>
      <w:r w:rsidRPr="00D44BB9">
        <w:t xml:space="preserve"> actuel et antérieur</w:t>
      </w:r>
      <w:r w:rsidR="00175EF5" w:rsidRPr="00D44BB9">
        <w:t>,</w:t>
      </w:r>
      <w:r w:rsidRPr="00D44BB9">
        <w:t xml:space="preserve"> administrateurs, </w:t>
      </w:r>
      <w:r w:rsidR="00742931" w:rsidRPr="00D44BB9">
        <w:t xml:space="preserve">dirigeants, </w:t>
      </w:r>
      <w:r w:rsidRPr="00D44BB9">
        <w:t>employés, agents, comptables, conseiller</w:t>
      </w:r>
      <w:r w:rsidR="00F40F9A" w:rsidRPr="00D44BB9">
        <w:t>s</w:t>
      </w:r>
      <w:r w:rsidRPr="00D44BB9">
        <w:t xml:space="preserve"> juridique</w:t>
      </w:r>
      <w:r w:rsidR="00F40F9A" w:rsidRPr="00D44BB9">
        <w:t>s</w:t>
      </w:r>
      <w:r w:rsidRPr="00D44BB9">
        <w:t xml:space="preserve"> et actionnaires, toutes les autres personnes qui agissent sur ses instructions ou en son nom,</w:t>
      </w:r>
      <w:r w:rsidR="00175EF5" w:rsidRPr="00D44BB9">
        <w:t xml:space="preserve"> et</w:t>
      </w:r>
      <w:r w:rsidRPr="00D44BB9">
        <w:t xml:space="preserve"> tous les autres p</w:t>
      </w:r>
      <w:r w:rsidR="00175EF5" w:rsidRPr="00D44BB9">
        <w:t>articuliers</w:t>
      </w:r>
      <w:r w:rsidRPr="00D44BB9">
        <w:t xml:space="preserve">, entreprises, sociétés, agences ou organismes gouvernementaux ou autres entités à qui </w:t>
      </w:r>
      <w:r w:rsidR="00F40F9A" w:rsidRPr="00D44BB9">
        <w:t>est</w:t>
      </w:r>
      <w:r w:rsidRPr="00D44BB9">
        <w:t xml:space="preserve"> signifiée la présente ordonnance (toutes les personnes et </w:t>
      </w:r>
      <w:r w:rsidR="00175EF5" w:rsidRPr="00D44BB9">
        <w:t xml:space="preserve">tous les </w:t>
      </w:r>
      <w:r w:rsidRPr="00D44BB9">
        <w:t>organismes qui précèdent étant collectivement appelés les « </w:t>
      </w:r>
      <w:r w:rsidRPr="00D44BB9">
        <w:rPr>
          <w:b/>
        </w:rPr>
        <w:t>personnes</w:t>
      </w:r>
      <w:r w:rsidRPr="00D44BB9">
        <w:t> » et chacun étant une « </w:t>
      </w:r>
      <w:r w:rsidRPr="00D44BB9">
        <w:rPr>
          <w:b/>
        </w:rPr>
        <w:t>personne</w:t>
      </w:r>
      <w:r w:rsidRPr="00D44BB9">
        <w:t xml:space="preserve"> ») doivent aviser </w:t>
      </w:r>
      <w:r w:rsidR="00175EF5" w:rsidRPr="00D44BB9">
        <w:t xml:space="preserve">sans délai </w:t>
      </w:r>
      <w:r w:rsidRPr="00D44BB9">
        <w:t>le séquestre de l'existence de</w:t>
      </w:r>
      <w:r w:rsidR="00175EF5" w:rsidRPr="00D44BB9">
        <w:t>s</w:t>
      </w:r>
      <w:r w:rsidRPr="00D44BB9">
        <w:t xml:space="preserve"> bien</w:t>
      </w:r>
      <w:r w:rsidR="00175EF5" w:rsidRPr="00D44BB9">
        <w:t>s</w:t>
      </w:r>
      <w:r w:rsidRPr="00D44BB9">
        <w:t xml:space="preserve"> en </w:t>
      </w:r>
      <w:r w:rsidR="00A23609" w:rsidRPr="00D44BB9">
        <w:t>leur possession</w:t>
      </w:r>
      <w:r w:rsidRPr="00D44BB9">
        <w:t xml:space="preserve"> ou sous leur contrôle, doivent </w:t>
      </w:r>
      <w:r w:rsidR="00F40F9A" w:rsidRPr="00D44BB9">
        <w:t>immédiatement</w:t>
      </w:r>
      <w:r w:rsidRPr="00D44BB9">
        <w:t xml:space="preserve"> accorder au séquestre un accès continu </w:t>
      </w:r>
      <w:r w:rsidR="00175EF5" w:rsidRPr="00D44BB9">
        <w:t xml:space="preserve">à ces </w:t>
      </w:r>
      <w:r w:rsidRPr="00D44BB9">
        <w:t xml:space="preserve">biens et doivent </w:t>
      </w:r>
      <w:r w:rsidR="00175EF5" w:rsidRPr="00D44BB9">
        <w:t xml:space="preserve">remettre </w:t>
      </w:r>
      <w:r w:rsidRPr="00D44BB9">
        <w:t xml:space="preserve">au séquestre </w:t>
      </w:r>
      <w:r w:rsidR="00175EF5" w:rsidRPr="00D44BB9">
        <w:t xml:space="preserve">les </w:t>
      </w:r>
      <w:r w:rsidRPr="00D44BB9">
        <w:t>bien</w:t>
      </w:r>
      <w:r w:rsidR="00175EF5" w:rsidRPr="00D44BB9">
        <w:t>s</w:t>
      </w:r>
      <w:r w:rsidRPr="00D44BB9">
        <w:t xml:space="preserve"> que celui-ci demande</w:t>
      </w:r>
      <w:r w:rsidR="00334EBD" w:rsidRPr="00D44BB9">
        <w:t>.</w:t>
      </w:r>
    </w:p>
    <w:p w:rsidR="00334EBD" w:rsidRPr="004C22D0" w:rsidRDefault="00972FB9" w:rsidP="003760AF">
      <w:pPr>
        <w:pStyle w:val="ORGenL1"/>
      </w:pPr>
      <w:bookmarkStart w:id="3" w:name="_DV_M57"/>
      <w:bookmarkEnd w:id="3"/>
      <w:r w:rsidRPr="00D44BB9">
        <w:t xml:space="preserve">Toutes les personnes doivent sans délai aviser le séquestre de l'existence des registres, documents, sûretés, contrats, ordonnances, dossiers de l'entreprise et documents comptables et </w:t>
      </w:r>
      <w:r w:rsidR="00175EF5" w:rsidRPr="00D44BB9">
        <w:t>d</w:t>
      </w:r>
      <w:r w:rsidRPr="00D44BB9">
        <w:t>es autres documents, dossiers et renseignements de toute</w:t>
      </w:r>
      <w:r w:rsidR="00175EF5" w:rsidRPr="00D44BB9">
        <w:t xml:space="preserve"> nature</w:t>
      </w:r>
      <w:r w:rsidRPr="00D44BB9">
        <w:t xml:space="preserve"> liés à l'entreprise ou aux affaires de l'intimé, </w:t>
      </w:r>
      <w:r w:rsidR="00175EF5" w:rsidRPr="00D44BB9">
        <w:t xml:space="preserve">ainsi que </w:t>
      </w:r>
      <w:r w:rsidR="00FC659F" w:rsidRPr="00D44BB9">
        <w:t>d</w:t>
      </w:r>
      <w:r w:rsidRPr="00D44BB9">
        <w:t>es programmes d</w:t>
      </w:r>
      <w:r w:rsidR="00F40F9A" w:rsidRPr="00D44BB9">
        <w:t>’</w:t>
      </w:r>
      <w:r w:rsidRPr="00D44BB9">
        <w:t>ordinateur, bandes pour ordinateurs, disques d'ordinateur et autres supports de données contenant de</w:t>
      </w:r>
      <w:r w:rsidR="00175EF5" w:rsidRPr="00D44BB9">
        <w:t xml:space="preserve"> tel</w:t>
      </w:r>
      <w:r w:rsidRPr="00D44BB9">
        <w:t>s renseignements (ce qui précède étant appelé collectivement les « </w:t>
      </w:r>
      <w:r w:rsidRPr="00D44BB9">
        <w:rPr>
          <w:b/>
        </w:rPr>
        <w:t>documents</w:t>
      </w:r>
      <w:r w:rsidRPr="00D44BB9">
        <w:t xml:space="preserve"> ») en leur possession ou leur contrôle, et elles doivent, sous réserve de </w:t>
      </w:r>
      <w:r w:rsidR="00175EF5" w:rsidRPr="00D44BB9">
        <w:t xml:space="preserve">leur droit de </w:t>
      </w:r>
      <w:r w:rsidRPr="00D44BB9">
        <w:t>demander une modification de la présente ordonnance, fournir au séquestre des copies de ces documents ou lui permettre de faire et de conserver des copies de ces documents et accorder au séquestre l’accès illimité aux documents comptab</w:t>
      </w:r>
      <w:r w:rsidR="00175EF5" w:rsidRPr="00D44BB9">
        <w:t>les</w:t>
      </w:r>
      <w:r w:rsidRPr="00D44BB9">
        <w:t>, ordinateurs, logiciels et installations physiques</w:t>
      </w:r>
      <w:r w:rsidR="00F40F9A" w:rsidRPr="00D44BB9">
        <w:t xml:space="preserve"> correspondants</w:t>
      </w:r>
      <w:r w:rsidRPr="00D44BB9">
        <w:t xml:space="preserve">, et </w:t>
      </w:r>
      <w:r w:rsidR="00FC659F" w:rsidRPr="00D44BB9">
        <w:t xml:space="preserve">à </w:t>
      </w:r>
      <w:r w:rsidRPr="00D44BB9">
        <w:t xml:space="preserve">leur utilisation, </w:t>
      </w:r>
      <w:r w:rsidR="00175EF5" w:rsidRPr="00D44BB9">
        <w:t xml:space="preserve">sous réserve </w:t>
      </w:r>
      <w:r w:rsidRPr="00D44BB9">
        <w:t xml:space="preserve">toutefois que rien dans le présent paragraphe ni dans le paragraphe 6 de la présente ordonnance n’exige de remettre des documents, ou d'accorder l'accès à des documents qui ne peuvent pas être divulgués ni </w:t>
      </w:r>
      <w:r w:rsidR="00A3420B" w:rsidRPr="00D44BB9">
        <w:t xml:space="preserve">transmis </w:t>
      </w:r>
      <w:r w:rsidRPr="00D44BB9">
        <w:t xml:space="preserve">au séquestre à cause du privilège des confidences à l'avocat ou à cause de dispositions statutaires </w:t>
      </w:r>
      <w:r w:rsidR="00A3420B" w:rsidRPr="00D44BB9">
        <w:t xml:space="preserve">en </w:t>
      </w:r>
      <w:r w:rsidRPr="00D44BB9">
        <w:t xml:space="preserve">interdisant </w:t>
      </w:r>
      <w:r w:rsidR="00A3420B" w:rsidRPr="00D44BB9">
        <w:t xml:space="preserve">la </w:t>
      </w:r>
      <w:r w:rsidRPr="00D44BB9">
        <w:t>divulgation</w:t>
      </w:r>
      <w:r w:rsidR="00334EBD" w:rsidRPr="00D44BB9">
        <w:t>.</w:t>
      </w:r>
    </w:p>
    <w:p w:rsidR="00334EBD" w:rsidRPr="004C22D0" w:rsidRDefault="00972FB9" w:rsidP="003760AF">
      <w:pPr>
        <w:pStyle w:val="ORGenL1"/>
      </w:pPr>
      <w:bookmarkStart w:id="4" w:name="_DV_M58"/>
      <w:bookmarkEnd w:id="4"/>
      <w:r w:rsidRPr="00D44BB9">
        <w:t xml:space="preserve">Si des documents sont </w:t>
      </w:r>
      <w:r w:rsidR="006C6FF2" w:rsidRPr="00D44BB9">
        <w:t>stockés</w:t>
      </w:r>
      <w:r w:rsidRPr="00D44BB9">
        <w:t xml:space="preserve"> ou contenu</w:t>
      </w:r>
      <w:r w:rsidR="006C6FF2" w:rsidRPr="00D44BB9">
        <w:t>s</w:t>
      </w:r>
      <w:r w:rsidRPr="00D44BB9">
        <w:t xml:space="preserve"> autrement sur un ordinateur ou un</w:t>
      </w:r>
      <w:r w:rsidR="006C6FF2" w:rsidRPr="00D44BB9">
        <w:t xml:space="preserve"> autre système électronique</w:t>
      </w:r>
      <w:r w:rsidRPr="00D44BB9">
        <w:t xml:space="preserve"> de </w:t>
      </w:r>
      <w:r w:rsidR="006C6FF2" w:rsidRPr="00D44BB9">
        <w:t>stockage d’information</w:t>
      </w:r>
      <w:r w:rsidRPr="00D44BB9">
        <w:t xml:space="preserve">, que ce soit par un fournisseur de services indépendant ou autrement, toutes les personnes en possession ou en contrôle de tels documents doivent, sous réserve de leur droit </w:t>
      </w:r>
      <w:r w:rsidR="00F40F9A" w:rsidRPr="00D44BB9">
        <w:t>de</w:t>
      </w:r>
      <w:r w:rsidRPr="00D44BB9">
        <w:t xml:space="preserve"> demander une modification de la présente ordonnance, donner immédiatement </w:t>
      </w:r>
      <w:r w:rsidR="000D58AE" w:rsidRPr="00D44BB9">
        <w:t xml:space="preserve">au séquestre </w:t>
      </w:r>
      <w:r w:rsidRPr="00D44BB9">
        <w:t>un accès illimité afin de lui permettre de récupérer et de copier entièrement tous les renseignements contenus que ce soit en imprimant les renseignements sur papier ou en faisant des copies de</w:t>
      </w:r>
      <w:r w:rsidR="006C6FF2" w:rsidRPr="00D44BB9">
        <w:t>s disques des ordinateurs</w:t>
      </w:r>
      <w:r w:rsidRPr="00D44BB9">
        <w:t xml:space="preserve"> ou </w:t>
      </w:r>
      <w:r w:rsidR="000D58AE" w:rsidRPr="00D44BB9">
        <w:t xml:space="preserve">en utilisant </w:t>
      </w:r>
      <w:r w:rsidRPr="00D44BB9">
        <w:t xml:space="preserve">tout autre </w:t>
      </w:r>
      <w:r w:rsidR="00F40F9A" w:rsidRPr="00D44BB9">
        <w:t>moyen d’extraction et</w:t>
      </w:r>
      <w:r w:rsidRPr="00D44BB9">
        <w:t xml:space="preserve"> </w:t>
      </w:r>
      <w:r w:rsidR="000D58AE" w:rsidRPr="00D44BB9">
        <w:t xml:space="preserve">de </w:t>
      </w:r>
      <w:r w:rsidRPr="00D44BB9">
        <w:t>copie</w:t>
      </w:r>
      <w:r w:rsidR="00F40F9A" w:rsidRPr="00D44BB9">
        <w:t xml:space="preserve"> d</w:t>
      </w:r>
      <w:r w:rsidRPr="00D44BB9">
        <w:t>es renseignements que le</w:t>
      </w:r>
      <w:r w:rsidR="006C6FF2" w:rsidRPr="00D44BB9">
        <w:t xml:space="preserve"> séquestre juge </w:t>
      </w:r>
      <w:r w:rsidRPr="00D44BB9">
        <w:t>rapide</w:t>
      </w:r>
      <w:r w:rsidR="006C6FF2" w:rsidRPr="00D44BB9">
        <w:t>,</w:t>
      </w:r>
      <w:r w:rsidRPr="00D44BB9">
        <w:t xml:space="preserve"> à sa discrétion</w:t>
      </w:r>
      <w:r w:rsidR="006C6FF2" w:rsidRPr="00D44BB9">
        <w:t>,</w:t>
      </w:r>
      <w:r w:rsidRPr="00D44BB9">
        <w:t xml:space="preserve"> et elles ne </w:t>
      </w:r>
      <w:r w:rsidR="00F40F9A" w:rsidRPr="00D44BB9">
        <w:t xml:space="preserve">peuvent </w:t>
      </w:r>
      <w:r w:rsidRPr="00D44BB9">
        <w:t>pas modifier,</w:t>
      </w:r>
      <w:r w:rsidR="006C6FF2" w:rsidRPr="00D44BB9">
        <w:t xml:space="preserve"> effacer </w:t>
      </w:r>
      <w:r w:rsidRPr="00D44BB9">
        <w:t xml:space="preserve">ou détruire des documents sans avoir </w:t>
      </w:r>
      <w:r w:rsidR="006C6FF2" w:rsidRPr="00D44BB9">
        <w:t xml:space="preserve">d’abord </w:t>
      </w:r>
      <w:r w:rsidRPr="00D44BB9">
        <w:t xml:space="preserve">obtenu le consentement écrit du </w:t>
      </w:r>
      <w:r w:rsidR="00BD0B01" w:rsidRPr="00D44BB9">
        <w:t>séquestre. De</w:t>
      </w:r>
      <w:r w:rsidRPr="00D44BB9">
        <w:t xml:space="preserve"> plus, aux fins du présent</w:t>
      </w:r>
      <w:r w:rsidR="006C6FF2" w:rsidRPr="00D44BB9">
        <w:t xml:space="preserve"> paragraphe</w:t>
      </w:r>
      <w:r w:rsidRPr="00D44BB9">
        <w:t>, toutes les personnes doi</w:t>
      </w:r>
      <w:r w:rsidR="006C6FF2" w:rsidRPr="00D44BB9">
        <w:t>ven</w:t>
      </w:r>
      <w:r w:rsidRPr="00D44BB9">
        <w:t>t fournir au séquestre</w:t>
      </w:r>
      <w:r w:rsidR="006C6FF2" w:rsidRPr="00D44BB9">
        <w:t xml:space="preserve"> toute l'aide</w:t>
      </w:r>
      <w:r w:rsidRPr="00D44BB9">
        <w:t xml:space="preserve"> dont il a besoin pour obtenir un accès immédiat aux renseignements </w:t>
      </w:r>
      <w:r w:rsidR="00F40F9A" w:rsidRPr="00D44BB9">
        <w:t xml:space="preserve">contenus </w:t>
      </w:r>
      <w:r w:rsidRPr="00D44BB9">
        <w:t xml:space="preserve">dans les </w:t>
      </w:r>
      <w:r w:rsidR="00F40F9A" w:rsidRPr="00D44BB9">
        <w:t>documents</w:t>
      </w:r>
      <w:r w:rsidRPr="00D44BB9">
        <w:t>, selon ce que le séquestre</w:t>
      </w:r>
      <w:r w:rsidR="006C6FF2" w:rsidRPr="00D44BB9">
        <w:t xml:space="preserve"> demande, </w:t>
      </w:r>
      <w:r w:rsidRPr="00D44BB9">
        <w:t>à sa discrétion, incluant fournir au séquestre des instructions sur l'utilisation d</w:t>
      </w:r>
      <w:r w:rsidR="000D58AE" w:rsidRPr="00D44BB9">
        <w:t>’un</w:t>
      </w:r>
      <w:r w:rsidRPr="00D44BB9">
        <w:t xml:space="preserve"> ordinateur ou</w:t>
      </w:r>
      <w:r w:rsidR="006C6FF2" w:rsidRPr="00D44BB9">
        <w:t xml:space="preserve"> </w:t>
      </w:r>
      <w:r w:rsidR="000D58AE" w:rsidRPr="00D44BB9">
        <w:t xml:space="preserve">d’un </w:t>
      </w:r>
      <w:r w:rsidR="006C6FF2" w:rsidRPr="00D44BB9">
        <w:t>autre système,</w:t>
      </w:r>
      <w:r w:rsidRPr="00D44BB9">
        <w:t xml:space="preserve"> e</w:t>
      </w:r>
      <w:r w:rsidR="000D58AE" w:rsidRPr="00D44BB9">
        <w:t>t</w:t>
      </w:r>
      <w:r w:rsidRPr="00D44BB9">
        <w:t xml:space="preserve"> fournir au séquestre tous les codes d'accès, les </w:t>
      </w:r>
      <w:r w:rsidR="006C6FF2" w:rsidRPr="00D44BB9">
        <w:t xml:space="preserve">intitulés et </w:t>
      </w:r>
      <w:r w:rsidRPr="00D44BB9">
        <w:t>les numéros de comptes pouvant être nécessaires pour avoir accès aux renseignements</w:t>
      </w:r>
      <w:r w:rsidR="00334EBD" w:rsidRPr="00D44BB9">
        <w:t>.</w:t>
      </w:r>
    </w:p>
    <w:p w:rsidR="00334EBD" w:rsidRPr="004C22D0" w:rsidRDefault="00F40F9A" w:rsidP="00C17025">
      <w:pPr>
        <w:pStyle w:val="ORMainHeading"/>
        <w:widowControl/>
        <w:rPr>
          <w:rFonts w:ascii="Franklin Gothic Book" w:hAnsi="Franklin Gothic Book"/>
          <w:lang w:val="fr-CA"/>
        </w:rPr>
      </w:pPr>
      <w:bookmarkStart w:id="5" w:name="_DV_M59"/>
      <w:bookmarkEnd w:id="5"/>
      <w:r w:rsidRPr="00D44BB9">
        <w:rPr>
          <w:rFonts w:ascii="Franklin Gothic Book" w:hAnsi="Franklin Gothic Book"/>
          <w:lang w:val="fr-CA"/>
        </w:rPr>
        <w:t>S</w:t>
      </w:r>
      <w:r w:rsidR="00A04496" w:rsidRPr="00D44BB9">
        <w:rPr>
          <w:rFonts w:ascii="Franklin Gothic Book" w:hAnsi="Franklin Gothic Book"/>
          <w:lang w:val="fr-CA"/>
        </w:rPr>
        <w:t>u</w:t>
      </w:r>
      <w:r w:rsidRPr="00D44BB9">
        <w:rPr>
          <w:rFonts w:ascii="Franklin Gothic Book" w:hAnsi="Franklin Gothic Book"/>
          <w:lang w:val="fr-CA"/>
        </w:rPr>
        <w:t>SPENSION DES</w:t>
      </w:r>
      <w:r w:rsidR="00A04496" w:rsidRPr="00D44BB9">
        <w:rPr>
          <w:rFonts w:ascii="Franklin Gothic Book" w:hAnsi="Franklin Gothic Book"/>
          <w:lang w:val="fr-CA"/>
        </w:rPr>
        <w:t xml:space="preserve"> procédure</w:t>
      </w:r>
      <w:r w:rsidRPr="00D44BB9">
        <w:rPr>
          <w:rFonts w:ascii="Franklin Gothic Book" w:hAnsi="Franklin Gothic Book"/>
          <w:lang w:val="fr-CA"/>
        </w:rPr>
        <w:t>S</w:t>
      </w:r>
      <w:r w:rsidR="00A04496" w:rsidRPr="00D44BB9">
        <w:rPr>
          <w:rFonts w:ascii="Franklin Gothic Book" w:hAnsi="Franklin Gothic Book"/>
          <w:lang w:val="fr-CA"/>
        </w:rPr>
        <w:t xml:space="preserve"> contre LE SÉQUESTRE </w:t>
      </w:r>
    </w:p>
    <w:p w:rsidR="00334EBD" w:rsidRPr="004C22D0" w:rsidRDefault="00A04496" w:rsidP="003760AF">
      <w:pPr>
        <w:pStyle w:val="ORGenL1"/>
      </w:pPr>
      <w:bookmarkStart w:id="6" w:name="_DV_M60"/>
      <w:bookmarkEnd w:id="6"/>
      <w:r w:rsidRPr="00D44BB9">
        <w:t xml:space="preserve">Aucune procédure ni </w:t>
      </w:r>
      <w:r w:rsidR="00943063" w:rsidRPr="00D44BB9">
        <w:t xml:space="preserve">aucun </w:t>
      </w:r>
      <w:r w:rsidRPr="00D44BB9">
        <w:t xml:space="preserve">processus d'exécution </w:t>
      </w:r>
      <w:r w:rsidR="000D58AE" w:rsidRPr="00D44BB9">
        <w:t xml:space="preserve">devant </w:t>
      </w:r>
      <w:r w:rsidRPr="00D44BB9">
        <w:t xml:space="preserve">un tribunal ou une cour (chacun étant appelé une </w:t>
      </w:r>
      <w:r w:rsidR="000D58AE" w:rsidRPr="00D44BB9">
        <w:t>« </w:t>
      </w:r>
      <w:r w:rsidRPr="00D44BB9">
        <w:rPr>
          <w:b/>
        </w:rPr>
        <w:t>procédure</w:t>
      </w:r>
      <w:r w:rsidR="000D58AE" w:rsidRPr="00D44BB9">
        <w:t> »</w:t>
      </w:r>
      <w:r w:rsidRPr="00D44BB9">
        <w:t>) ne peut être introduit ou continu</w:t>
      </w:r>
      <w:r w:rsidR="000D58AE" w:rsidRPr="00D44BB9">
        <w:t>é</w:t>
      </w:r>
      <w:r w:rsidRPr="00D44BB9">
        <w:t xml:space="preserve"> contre le séquestre, sauf avec le consentement écrit du séquestre ou avec l'autorisation du tribunal</w:t>
      </w:r>
      <w:r w:rsidR="00334EBD" w:rsidRPr="00D44BB9">
        <w:t>.</w:t>
      </w:r>
    </w:p>
    <w:p w:rsidR="00334EBD" w:rsidRPr="004C22D0" w:rsidRDefault="00F40F9A" w:rsidP="00C17025">
      <w:pPr>
        <w:pStyle w:val="ORMainHeading"/>
        <w:widowControl/>
        <w:rPr>
          <w:rFonts w:ascii="Franklin Gothic Book" w:hAnsi="Franklin Gothic Book"/>
          <w:lang w:val="fr-CA"/>
        </w:rPr>
      </w:pPr>
      <w:bookmarkStart w:id="7" w:name="_DV_M61"/>
      <w:bookmarkEnd w:id="7"/>
      <w:r w:rsidRPr="00D44BB9">
        <w:rPr>
          <w:rFonts w:ascii="Franklin Gothic Book" w:hAnsi="Franklin Gothic Book"/>
          <w:lang w:val="fr-CA"/>
        </w:rPr>
        <w:t>s</w:t>
      </w:r>
      <w:r w:rsidR="00A04496" w:rsidRPr="00D44BB9">
        <w:rPr>
          <w:rFonts w:ascii="Franklin Gothic Book" w:hAnsi="Franklin Gothic Book"/>
          <w:lang w:val="fr-CA"/>
        </w:rPr>
        <w:t>u</w:t>
      </w:r>
      <w:r w:rsidRPr="00D44BB9">
        <w:rPr>
          <w:rFonts w:ascii="Franklin Gothic Book" w:hAnsi="Franklin Gothic Book"/>
          <w:lang w:val="fr-CA"/>
        </w:rPr>
        <w:t xml:space="preserve">SPENSION DES </w:t>
      </w:r>
      <w:r w:rsidR="00A04496" w:rsidRPr="00D44BB9">
        <w:rPr>
          <w:rFonts w:ascii="Franklin Gothic Book" w:hAnsi="Franklin Gothic Book"/>
          <w:lang w:val="fr-CA"/>
        </w:rPr>
        <w:t>procédure</w:t>
      </w:r>
      <w:r w:rsidRPr="00D44BB9">
        <w:rPr>
          <w:rFonts w:ascii="Franklin Gothic Book" w:hAnsi="Franklin Gothic Book"/>
          <w:lang w:val="fr-CA"/>
        </w:rPr>
        <w:t>S</w:t>
      </w:r>
      <w:r w:rsidR="00A04496" w:rsidRPr="00D44BB9">
        <w:rPr>
          <w:rFonts w:ascii="Franklin Gothic Book" w:hAnsi="Franklin Gothic Book"/>
          <w:lang w:val="fr-CA"/>
        </w:rPr>
        <w:t xml:space="preserve"> contre L'INTIMÉ ou les biens </w:t>
      </w:r>
    </w:p>
    <w:p w:rsidR="00334EBD" w:rsidRPr="004C22D0" w:rsidRDefault="00A04496" w:rsidP="003760AF">
      <w:pPr>
        <w:pStyle w:val="ORGenL1"/>
      </w:pPr>
      <w:bookmarkStart w:id="8" w:name="_DV_M62"/>
      <w:bookmarkEnd w:id="8"/>
      <w:r w:rsidRPr="00D44BB9">
        <w:t xml:space="preserve">Aucune procédure contre l'intimé ou les biens ou à leur égard ne peut être introduite ou continuée, sauf avec le consentement écrit du séquestre ou avec l'autorisation du tribunal, et toute procédure actuellement en cours contre l'intimé ou les biens ou à leur égard est par les présentes suspendue jusqu'à </w:t>
      </w:r>
      <w:r w:rsidR="00F40F9A" w:rsidRPr="00D44BB9">
        <w:t>ce que le tribunal rende une autre</w:t>
      </w:r>
      <w:r w:rsidRPr="00D44BB9">
        <w:t xml:space="preserve"> ordonnance</w:t>
      </w:r>
      <w:r w:rsidR="00334EBD" w:rsidRPr="00D44BB9">
        <w:t>.</w:t>
      </w:r>
    </w:p>
    <w:p w:rsidR="00334EBD" w:rsidRPr="004C22D0" w:rsidRDefault="00F40F9A" w:rsidP="00C17025">
      <w:pPr>
        <w:pStyle w:val="ORMainHeading"/>
        <w:widowControl/>
        <w:rPr>
          <w:rFonts w:ascii="Franklin Gothic Book" w:hAnsi="Franklin Gothic Book"/>
          <w:lang w:val="fr-CA"/>
        </w:rPr>
      </w:pPr>
      <w:bookmarkStart w:id="9" w:name="_DV_M63"/>
      <w:bookmarkEnd w:id="9"/>
      <w:r w:rsidRPr="00D44BB9">
        <w:rPr>
          <w:rFonts w:ascii="Franklin Gothic Book" w:hAnsi="Franklin Gothic Book"/>
          <w:lang w:val="fr-CA"/>
        </w:rPr>
        <w:t>S</w:t>
      </w:r>
      <w:r w:rsidR="00A04496" w:rsidRPr="00D44BB9">
        <w:rPr>
          <w:rFonts w:ascii="Franklin Gothic Book" w:hAnsi="Franklin Gothic Book"/>
          <w:lang w:val="fr-CA"/>
        </w:rPr>
        <w:t>u</w:t>
      </w:r>
      <w:r w:rsidRPr="00D44BB9">
        <w:rPr>
          <w:rFonts w:ascii="Franklin Gothic Book" w:hAnsi="Franklin Gothic Book"/>
          <w:lang w:val="fr-CA"/>
        </w:rPr>
        <w:t>SPENSION DES</w:t>
      </w:r>
      <w:r w:rsidR="00A04496" w:rsidRPr="00D44BB9">
        <w:rPr>
          <w:rFonts w:ascii="Franklin Gothic Book" w:hAnsi="Franklin Gothic Book"/>
          <w:lang w:val="fr-CA"/>
        </w:rPr>
        <w:t xml:space="preserve"> droits ou recours </w:t>
      </w:r>
    </w:p>
    <w:p w:rsidR="00334EBD" w:rsidRPr="004C22D0" w:rsidRDefault="00A04496" w:rsidP="003760AF">
      <w:pPr>
        <w:pStyle w:val="ORGenL1"/>
      </w:pPr>
      <w:bookmarkStart w:id="10" w:name="_DV_M64"/>
      <w:bookmarkEnd w:id="10"/>
      <w:r w:rsidRPr="00D44BB9">
        <w:t xml:space="preserve">Tous les droits et recours de tout particulier, entreprise, société, agence ou organisme gouvernemental, ou de toute autre entité contre l'intimé, le séquestre, ou touchant les biens, sont par les présentes suspendus sauf avec le consentement écrit du séquestre ou avec l'autorisation du tribunal, étant entendu cependant que cette suspension ne s'applique pas </w:t>
      </w:r>
      <w:r w:rsidR="000D58AE" w:rsidRPr="00D44BB9">
        <w:t>« </w:t>
      </w:r>
      <w:r w:rsidRPr="00D44BB9">
        <w:t>aux contrats financiers admissibles</w:t>
      </w:r>
      <w:r w:rsidR="000D58AE" w:rsidRPr="00D44BB9">
        <w:t xml:space="preserve"> », tel que définis dans </w:t>
      </w:r>
      <w:r w:rsidRPr="00D44BB9">
        <w:t xml:space="preserve">la </w:t>
      </w:r>
      <w:r w:rsidRPr="00D44BB9">
        <w:rPr>
          <w:i/>
        </w:rPr>
        <w:t>Loi sur la faillite et l’insolvabilité</w:t>
      </w:r>
      <w:r w:rsidR="000D58AE" w:rsidRPr="00D44BB9">
        <w:t>,</w:t>
      </w:r>
      <w:r w:rsidRPr="00D44BB9">
        <w:t xml:space="preserve"> et étant aussi entendu que rien dans le présent paragraphe ne doit</w:t>
      </w:r>
      <w:r w:rsidR="00164B36" w:rsidRPr="00D44BB9">
        <w:t> :</w:t>
      </w:r>
      <w:r w:rsidR="00334EBD" w:rsidRPr="00D44BB9">
        <w:t xml:space="preserve"> i)</w:t>
      </w:r>
      <w:r w:rsidRPr="00D44BB9">
        <w:t> </w:t>
      </w:r>
      <w:r w:rsidR="00F40F9A" w:rsidRPr="00D44BB9">
        <w:t>habiliter le</w:t>
      </w:r>
      <w:r w:rsidRPr="00D44BB9">
        <w:t xml:space="preserve"> séquestre ou l'intimé </w:t>
      </w:r>
      <w:r w:rsidR="00F40F9A" w:rsidRPr="00D44BB9">
        <w:t>à</w:t>
      </w:r>
      <w:r w:rsidRPr="00D44BB9">
        <w:t xml:space="preserve"> faire des affaires qu</w:t>
      </w:r>
      <w:r w:rsidR="00F40F9A" w:rsidRPr="00D44BB9">
        <w:t xml:space="preserve">e </w:t>
      </w:r>
      <w:r w:rsidRPr="00D44BB9">
        <w:t>l</w:t>
      </w:r>
      <w:r w:rsidR="00F40F9A" w:rsidRPr="00D44BB9">
        <w:t>’intimé</w:t>
      </w:r>
      <w:r w:rsidRPr="00D44BB9">
        <w:t xml:space="preserve"> n'est pas légalement autorisé à faire</w:t>
      </w:r>
      <w:r w:rsidR="00164B36" w:rsidRPr="00D44BB9">
        <w:t>;</w:t>
      </w:r>
      <w:r w:rsidR="00334EBD" w:rsidRPr="00D44BB9">
        <w:t xml:space="preserve"> ii)</w:t>
      </w:r>
      <w:r w:rsidRPr="00D44BB9">
        <w:t xml:space="preserve"> exempter le séquestre ou l'intimé de se conformer aux dispositions statutaires ou réglementaires </w:t>
      </w:r>
      <w:r w:rsidR="00F40F9A" w:rsidRPr="00D44BB9">
        <w:t xml:space="preserve">relativement à </w:t>
      </w:r>
      <w:r w:rsidRPr="00D44BB9">
        <w:t>la santé, la sécurité ou l'environnement</w:t>
      </w:r>
      <w:r w:rsidR="00164B36" w:rsidRPr="00D44BB9">
        <w:t>;</w:t>
      </w:r>
      <w:r w:rsidRPr="00D44BB9">
        <w:t xml:space="preserve"> </w:t>
      </w:r>
      <w:r w:rsidR="00334EBD" w:rsidRPr="00D44BB9">
        <w:t>iii)</w:t>
      </w:r>
      <w:r w:rsidRPr="00D44BB9">
        <w:t xml:space="preserve"> empêcher le dépôt de tout enregistrement </w:t>
      </w:r>
      <w:r w:rsidR="00F40F9A" w:rsidRPr="00D44BB9">
        <w:t xml:space="preserve">visant à </w:t>
      </w:r>
      <w:r w:rsidRPr="00D44BB9">
        <w:t xml:space="preserve">préserver ou </w:t>
      </w:r>
      <w:r w:rsidR="00F40F9A" w:rsidRPr="00D44BB9">
        <w:t>parfaire</w:t>
      </w:r>
      <w:r w:rsidRPr="00D44BB9">
        <w:t xml:space="preserve"> une sûreté</w:t>
      </w:r>
      <w:r w:rsidR="00164B36" w:rsidRPr="00D44BB9">
        <w:t>;</w:t>
      </w:r>
      <w:r w:rsidR="00334EBD" w:rsidRPr="00D44BB9">
        <w:t xml:space="preserve"> iv)</w:t>
      </w:r>
      <w:r w:rsidRPr="00D44BB9">
        <w:t xml:space="preserve"> empêcher l'enregistrement d'une revendication de privilège et le dépôt </w:t>
      </w:r>
      <w:r w:rsidR="00F40F9A" w:rsidRPr="00D44BB9">
        <w:t xml:space="preserve">connexe </w:t>
      </w:r>
      <w:r w:rsidRPr="00D44BB9">
        <w:t xml:space="preserve">d'une action pour préserver le droit d'un titulaire de privilège </w:t>
      </w:r>
      <w:r w:rsidR="00F40F9A" w:rsidRPr="00D44BB9">
        <w:t xml:space="preserve">à la condition </w:t>
      </w:r>
      <w:r w:rsidR="000D58AE" w:rsidRPr="00D44BB9">
        <w:t>que</w:t>
      </w:r>
      <w:r w:rsidRPr="00D44BB9">
        <w:t xml:space="preserve"> le requérant ne soit pas tenu de déposer une défense à ce sujet étant donné qu</w:t>
      </w:r>
      <w:r w:rsidR="00E36404" w:rsidRPr="00D44BB9">
        <w:t>e la</w:t>
      </w:r>
      <w:r w:rsidRPr="00D44BB9">
        <w:t xml:space="preserve"> poursuite de toute </w:t>
      </w:r>
      <w:r w:rsidR="000D58AE" w:rsidRPr="00D44BB9">
        <w:t>revendication</w:t>
      </w:r>
      <w:r w:rsidRPr="00D44BB9">
        <w:t xml:space="preserve"> de ce genre est suspendue sauf avec le consentement écrit du séquestre ou l'autorisation d</w:t>
      </w:r>
      <w:r w:rsidR="00F40F9A" w:rsidRPr="00D44BB9">
        <w:t>u tribunal</w:t>
      </w:r>
      <w:r w:rsidR="00334EBD" w:rsidRPr="00D44BB9">
        <w:t>.</w:t>
      </w:r>
    </w:p>
    <w:p w:rsidR="00334EBD" w:rsidRPr="004C22D0" w:rsidRDefault="00E920A6" w:rsidP="00C17025">
      <w:pPr>
        <w:pStyle w:val="ORMainHeading"/>
        <w:widowControl/>
        <w:rPr>
          <w:rFonts w:ascii="Franklin Gothic Book" w:hAnsi="Franklin Gothic Book"/>
          <w:lang w:val="fr-CA"/>
        </w:rPr>
      </w:pPr>
      <w:r w:rsidRPr="00D44BB9">
        <w:rPr>
          <w:rFonts w:ascii="Franklin Gothic Book" w:hAnsi="Franklin Gothic Book"/>
          <w:lang w:val="fr-CA"/>
        </w:rPr>
        <w:t>BAILLEURS de biens personnels</w:t>
      </w:r>
    </w:p>
    <w:p w:rsidR="00334EBD" w:rsidRPr="004C22D0" w:rsidRDefault="00E920A6" w:rsidP="003760AF">
      <w:pPr>
        <w:pStyle w:val="ORGenL1"/>
      </w:pPr>
      <w:bookmarkStart w:id="11" w:name="_DV_M65"/>
      <w:bookmarkEnd w:id="11"/>
      <w:r w:rsidRPr="00D44BB9">
        <w:t xml:space="preserve">Tous les droits et recours de personnes découlant d'un arrangement </w:t>
      </w:r>
      <w:r w:rsidR="000D58AE" w:rsidRPr="00D44BB9">
        <w:t xml:space="preserve">ou d’un accord </w:t>
      </w:r>
      <w:r w:rsidRPr="00D44BB9">
        <w:t>auquel l'intimé est partie pour la location à bail ou autre</w:t>
      </w:r>
      <w:r w:rsidR="000D58AE" w:rsidRPr="00D44BB9">
        <w:t>ment</w:t>
      </w:r>
      <w:r w:rsidRPr="00D44BB9">
        <w:t xml:space="preserve"> de biens personnels de </w:t>
      </w:r>
      <w:r w:rsidR="002166C1" w:rsidRPr="00D44BB9">
        <w:t xml:space="preserve">toute </w:t>
      </w:r>
      <w:r w:rsidRPr="00D44BB9">
        <w:t xml:space="preserve">nature, sont par les présentes limités sauf avec le consentement écrit du séquestre ou </w:t>
      </w:r>
      <w:r w:rsidR="002166C1" w:rsidRPr="00D44BB9">
        <w:t>l’</w:t>
      </w:r>
      <w:r w:rsidRPr="00D44BB9">
        <w:t xml:space="preserve">autorisation du </w:t>
      </w:r>
      <w:r w:rsidR="00BD0B01" w:rsidRPr="00D44BB9">
        <w:t>tribunal. Le</w:t>
      </w:r>
      <w:r w:rsidRPr="00D44BB9">
        <w:t xml:space="preserve"> séquestre est autorisé à retourner </w:t>
      </w:r>
      <w:r w:rsidR="002166C1" w:rsidRPr="00D44BB9">
        <w:t xml:space="preserve">à une telle personne </w:t>
      </w:r>
      <w:r w:rsidRPr="00D44BB9">
        <w:t xml:space="preserve">un tel bien faisant l'objet d'un bail d'une tierce partie aux conditions que le séquestre, agissant de manière raisonnable, considère </w:t>
      </w:r>
      <w:r w:rsidR="00943063" w:rsidRPr="00D44BB9">
        <w:t xml:space="preserve">comme </w:t>
      </w:r>
      <w:r w:rsidRPr="00D44BB9">
        <w:t>appropriées et si le séquestre est convaincu de l'intérêt de cette personne relativement au bien applicable</w:t>
      </w:r>
      <w:r w:rsidR="00334EBD" w:rsidRPr="00D44BB9">
        <w:t>.</w:t>
      </w:r>
      <w:r w:rsidR="000D58AE" w:rsidRPr="00D44BB9">
        <w:rPr>
          <w:rStyle w:val="tw4winMark"/>
          <w:vanish w:val="0"/>
          <w:color w:val="auto"/>
        </w:rPr>
        <w:t xml:space="preserve"> </w:t>
      </w:r>
      <w:r w:rsidRPr="00D44BB9">
        <w:t xml:space="preserve">Le retour de tout article par le séquestre à une personne </w:t>
      </w:r>
      <w:r w:rsidR="000D58AE" w:rsidRPr="00D44BB9">
        <w:t>s</w:t>
      </w:r>
      <w:r w:rsidRPr="00D44BB9">
        <w:t>e</w:t>
      </w:r>
      <w:r w:rsidR="000D58AE" w:rsidRPr="00D44BB9">
        <w:t xml:space="preserve"> fai</w:t>
      </w:r>
      <w:r w:rsidRPr="00D44BB9">
        <w:t xml:space="preserve">t sans préjudice aux droits </w:t>
      </w:r>
      <w:r w:rsidR="000D58AE" w:rsidRPr="00D44BB9">
        <w:t xml:space="preserve">ou </w:t>
      </w:r>
      <w:r w:rsidR="002166C1" w:rsidRPr="00D44BB9">
        <w:t xml:space="preserve">réclamations de toute </w:t>
      </w:r>
      <w:r w:rsidRPr="00D44BB9">
        <w:t>autre personne à l'égard du bien retourné ou d'un intérêt co</w:t>
      </w:r>
      <w:r w:rsidR="002166C1" w:rsidRPr="00D44BB9">
        <w:t>rrespondant</w:t>
      </w:r>
      <w:r w:rsidR="00334EBD" w:rsidRPr="00D44BB9">
        <w:t>.</w:t>
      </w:r>
    </w:p>
    <w:p w:rsidR="00334EBD" w:rsidRPr="004C22D0" w:rsidRDefault="00E920A6" w:rsidP="00C17025">
      <w:pPr>
        <w:pStyle w:val="ORMainHeading"/>
        <w:keepNext/>
        <w:widowControl/>
        <w:rPr>
          <w:rFonts w:ascii="Franklin Gothic Book" w:hAnsi="Franklin Gothic Book"/>
          <w:lang w:val="fr-CA"/>
        </w:rPr>
      </w:pPr>
      <w:bookmarkStart w:id="12" w:name="_DV_M66"/>
      <w:bookmarkEnd w:id="12"/>
      <w:r w:rsidRPr="00D44BB9">
        <w:rPr>
          <w:rFonts w:ascii="Franklin Gothic Book" w:hAnsi="Franklin Gothic Book"/>
          <w:lang w:val="fr-CA"/>
        </w:rPr>
        <w:t>Aucune in</w:t>
      </w:r>
      <w:r w:rsidR="002166C1" w:rsidRPr="00D44BB9">
        <w:rPr>
          <w:rFonts w:ascii="Franklin Gothic Book" w:hAnsi="Franklin Gothic Book"/>
          <w:lang w:val="fr-CA"/>
        </w:rPr>
        <w:t>GÉRENCE dans LES POUVOIRS DU</w:t>
      </w:r>
      <w:r w:rsidRPr="00D44BB9">
        <w:rPr>
          <w:rFonts w:ascii="Franklin Gothic Book" w:hAnsi="Franklin Gothic Book"/>
          <w:lang w:val="fr-CA"/>
        </w:rPr>
        <w:t xml:space="preserve"> séquestre </w:t>
      </w:r>
    </w:p>
    <w:p w:rsidR="00334EBD" w:rsidRPr="004C22D0" w:rsidRDefault="00E920A6" w:rsidP="003760AF">
      <w:pPr>
        <w:pStyle w:val="ORGenL1"/>
      </w:pPr>
      <w:bookmarkStart w:id="13" w:name="_DV_M67"/>
      <w:bookmarkEnd w:id="13"/>
      <w:r w:rsidRPr="00D44BB9">
        <w:t>Sous réserve du paragraphe 16 de la présente ordonnance concernant les employés de l'intimé, aucune personne ne peut interrompre, modifier, renier tout droit, droit de renouvellement, contrat, entente, licence ou permis en faveur de l'intimé ou détenu par lui,</w:t>
      </w:r>
      <w:r w:rsidR="007A395C" w:rsidRPr="00D44BB9">
        <w:t xml:space="preserve"> ni cesser de les respecter</w:t>
      </w:r>
      <w:r w:rsidR="002166C1" w:rsidRPr="00D44BB9">
        <w:t>,</w:t>
      </w:r>
      <w:r w:rsidR="007A395C" w:rsidRPr="00D44BB9">
        <w:t xml:space="preserve"> </w:t>
      </w:r>
      <w:r w:rsidR="002166C1" w:rsidRPr="00D44BB9">
        <w:t>y porter atteinte</w:t>
      </w:r>
      <w:r w:rsidR="007A395C" w:rsidRPr="00D44BB9">
        <w:t xml:space="preserve"> ou y mettre fin</w:t>
      </w:r>
      <w:r w:rsidR="002166C1" w:rsidRPr="00D44BB9">
        <w:t>,</w:t>
      </w:r>
      <w:r w:rsidRPr="00D44BB9">
        <w:t xml:space="preserve"> sans le consentement écrit du séquestre ou l'autorisation du tribunal</w:t>
      </w:r>
      <w:r w:rsidR="00334EBD" w:rsidRPr="00D44BB9">
        <w:t>.</w:t>
      </w:r>
    </w:p>
    <w:p w:rsidR="00334EBD" w:rsidRPr="004C22D0" w:rsidRDefault="00E920A6" w:rsidP="00C17025">
      <w:pPr>
        <w:pStyle w:val="ORMainHeading"/>
        <w:widowControl/>
        <w:rPr>
          <w:rFonts w:ascii="Franklin Gothic Book" w:hAnsi="Franklin Gothic Book"/>
          <w:lang w:val="fr-CA"/>
        </w:rPr>
      </w:pPr>
      <w:bookmarkStart w:id="14" w:name="_DV_M68"/>
      <w:bookmarkEnd w:id="14"/>
      <w:r w:rsidRPr="00D44BB9">
        <w:rPr>
          <w:rFonts w:ascii="Franklin Gothic Book" w:hAnsi="Franklin Gothic Book"/>
          <w:lang w:val="fr-CA"/>
        </w:rPr>
        <w:t xml:space="preserve">Maintien des services </w:t>
      </w:r>
    </w:p>
    <w:p w:rsidR="00334EBD" w:rsidRPr="004C22D0" w:rsidRDefault="00E920A6" w:rsidP="003760AF">
      <w:pPr>
        <w:pStyle w:val="ORGenL1"/>
      </w:pPr>
      <w:bookmarkStart w:id="15" w:name="_DV_M69"/>
      <w:bookmarkEnd w:id="15"/>
      <w:r w:rsidRPr="00D44BB9">
        <w:t>Toutes les personnes ayant un contrat verbal ou écrit avec l'intimé ou un mandat statutaire ou réglementaire pour la</w:t>
      </w:r>
      <w:r w:rsidR="002166C1" w:rsidRPr="00D44BB9">
        <w:t xml:space="preserve"> fourniture</w:t>
      </w:r>
      <w:r w:rsidRPr="00D44BB9">
        <w:t xml:space="preserve"> </w:t>
      </w:r>
      <w:r w:rsidR="002166C1" w:rsidRPr="00D44BB9">
        <w:t>d</w:t>
      </w:r>
      <w:r w:rsidRPr="00D44BB9">
        <w:t xml:space="preserve">e marchandises ou services incluant, sans s'y limiter, tous les services liés aux logiciels, à la communication et </w:t>
      </w:r>
      <w:r w:rsidR="007A395C" w:rsidRPr="00D44BB9">
        <w:t xml:space="preserve">à la </w:t>
      </w:r>
      <w:r w:rsidRPr="00D44BB9">
        <w:t xml:space="preserve">transmission de données, les services bancaires centralisés, les services de la paye, les assurances, les services de transport, les services publics ou autres </w:t>
      </w:r>
      <w:r w:rsidR="007A395C" w:rsidRPr="00D44BB9">
        <w:t xml:space="preserve">rendus à </w:t>
      </w:r>
      <w:r w:rsidRPr="00D44BB9">
        <w:t>l'intimé, se voi</w:t>
      </w:r>
      <w:r w:rsidR="00BA475F" w:rsidRPr="00D44BB9">
        <w:t>en</w:t>
      </w:r>
      <w:r w:rsidRPr="00D44BB9">
        <w:t>t par les présentes</w:t>
      </w:r>
      <w:r w:rsidR="002166C1" w:rsidRPr="00D44BB9">
        <w:t>,</w:t>
      </w:r>
      <w:r w:rsidRPr="00D44BB9">
        <w:t xml:space="preserve"> et jusqu'à ce </w:t>
      </w:r>
      <w:r w:rsidR="00BA475F" w:rsidRPr="00D44BB9">
        <w:t>qu</w:t>
      </w:r>
      <w:r w:rsidR="00F40F9A" w:rsidRPr="00D44BB9">
        <w:t xml:space="preserve">e le tribunal rende </w:t>
      </w:r>
      <w:r w:rsidR="00BA475F" w:rsidRPr="00D44BB9">
        <w:t xml:space="preserve">une </w:t>
      </w:r>
      <w:r w:rsidR="00F40F9A" w:rsidRPr="00D44BB9">
        <w:t xml:space="preserve">autre </w:t>
      </w:r>
      <w:r w:rsidR="00BA475F" w:rsidRPr="00D44BB9">
        <w:t>ordonnance,</w:t>
      </w:r>
      <w:r w:rsidRPr="00D44BB9">
        <w:t xml:space="preserve"> interdire </w:t>
      </w:r>
      <w:r w:rsidR="00BA475F" w:rsidRPr="00D44BB9">
        <w:t>d'interrompre</w:t>
      </w:r>
      <w:r w:rsidRPr="00D44BB9">
        <w:t xml:space="preserve">, </w:t>
      </w:r>
      <w:r w:rsidR="00A00399" w:rsidRPr="00D44BB9">
        <w:t xml:space="preserve">de </w:t>
      </w:r>
      <w:r w:rsidRPr="00D44BB9">
        <w:t xml:space="preserve">modifier ou </w:t>
      </w:r>
      <w:r w:rsidR="00A00399" w:rsidRPr="00D44BB9">
        <w:t>d’</w:t>
      </w:r>
      <w:r w:rsidRPr="00D44BB9">
        <w:t>entraver l</w:t>
      </w:r>
      <w:r w:rsidR="002166C1" w:rsidRPr="00D44BB9">
        <w:t>a fourniture de</w:t>
      </w:r>
      <w:r w:rsidR="007A395C" w:rsidRPr="00D44BB9">
        <w:t xml:space="preserve"> </w:t>
      </w:r>
      <w:r w:rsidRPr="00D44BB9">
        <w:t>ces marchandises et services dont peut avoir besoin le séquestre</w:t>
      </w:r>
      <w:r w:rsidR="007A395C" w:rsidRPr="00D44BB9">
        <w:t>,</w:t>
      </w:r>
      <w:r w:rsidRPr="00D44BB9">
        <w:t xml:space="preserve"> ou d'y mettre fin</w:t>
      </w:r>
      <w:r w:rsidR="00BA475F" w:rsidRPr="00D44BB9">
        <w:t>,</w:t>
      </w:r>
      <w:r w:rsidRPr="00D44BB9">
        <w:t xml:space="preserve"> et le séquestre a droit à l'utilisation continue des numéro</w:t>
      </w:r>
      <w:r w:rsidR="00BA475F" w:rsidRPr="00D44BB9">
        <w:t>s</w:t>
      </w:r>
      <w:r w:rsidRPr="00D44BB9">
        <w:t xml:space="preserve"> de téléphone</w:t>
      </w:r>
      <w:r w:rsidR="00BA475F" w:rsidRPr="00D44BB9">
        <w:t>,</w:t>
      </w:r>
      <w:r w:rsidRPr="00D44BB9">
        <w:t xml:space="preserve"> numéro</w:t>
      </w:r>
      <w:r w:rsidR="00BA475F" w:rsidRPr="00D44BB9">
        <w:t>s</w:t>
      </w:r>
      <w:r w:rsidRPr="00D44BB9">
        <w:t xml:space="preserve"> de télécopieur, adresses Internet et noms de domaine </w:t>
      </w:r>
      <w:r w:rsidR="007A395C" w:rsidRPr="00D44BB9">
        <w:t>d</w:t>
      </w:r>
      <w:r w:rsidRPr="00D44BB9">
        <w:t xml:space="preserve">e l'intimé, </w:t>
      </w:r>
      <w:r w:rsidR="007A395C" w:rsidRPr="00D44BB9">
        <w:t>sous réserve</w:t>
      </w:r>
      <w:r w:rsidRPr="00D44BB9">
        <w:t xml:space="preserve"> que</w:t>
      </w:r>
      <w:r w:rsidR="007A395C" w:rsidRPr="00D44BB9">
        <w:t>,</w:t>
      </w:r>
      <w:r w:rsidRPr="00D44BB9">
        <w:t xml:space="preserve"> dans chaque cas</w:t>
      </w:r>
      <w:r w:rsidR="007A395C" w:rsidRPr="00D44BB9">
        <w:t>,</w:t>
      </w:r>
      <w:r w:rsidRPr="00D44BB9">
        <w:t xml:space="preserve"> le prix </w:t>
      </w:r>
      <w:r w:rsidR="00BA475F" w:rsidRPr="00D44BB9">
        <w:t xml:space="preserve">ou </w:t>
      </w:r>
      <w:r w:rsidRPr="00D44BB9">
        <w:t xml:space="preserve">les frais normaux de ces marchandises et services reçus après la date de la présente ordonnance soient payés par le séquestre conformément </w:t>
      </w:r>
      <w:r w:rsidR="00BA475F" w:rsidRPr="00D44BB9">
        <w:t>aux pratiques normales</w:t>
      </w:r>
      <w:r w:rsidRPr="00D44BB9">
        <w:t xml:space="preserve"> de paiement de l'intimé ou à d'autres pratiques susceptibles d'être </w:t>
      </w:r>
      <w:r w:rsidR="00BA475F" w:rsidRPr="00D44BB9">
        <w:t>convenues</w:t>
      </w:r>
      <w:r w:rsidRPr="00D44BB9">
        <w:t xml:space="preserve"> entre le fournisseur de marchandises ou</w:t>
      </w:r>
      <w:r w:rsidR="007A395C" w:rsidRPr="00D44BB9">
        <w:t xml:space="preserve"> de services et le séquestre, ou</w:t>
      </w:r>
      <w:r w:rsidRPr="00D44BB9">
        <w:t xml:space="preserve"> comme peut l'ordonner le tribunal</w:t>
      </w:r>
      <w:r w:rsidR="00334EBD" w:rsidRPr="00D44BB9">
        <w:t>.</w:t>
      </w:r>
    </w:p>
    <w:p w:rsidR="00334EBD" w:rsidRPr="004C22D0" w:rsidRDefault="00897980" w:rsidP="003760AF">
      <w:pPr>
        <w:pStyle w:val="ORGenL1"/>
      </w:pPr>
      <w:bookmarkStart w:id="16" w:name="_DV_M70"/>
      <w:bookmarkEnd w:id="16"/>
      <w:r w:rsidRPr="00D44BB9">
        <w:t xml:space="preserve">À sa seule discrétion, le séquestre peut (mais sans y être obligé) établir des comptes ou </w:t>
      </w:r>
      <w:r w:rsidR="002166C1" w:rsidRPr="00D44BB9">
        <w:t xml:space="preserve">des </w:t>
      </w:r>
      <w:r w:rsidR="007C7971" w:rsidRPr="00D44BB9">
        <w:t>arrangements</w:t>
      </w:r>
      <w:r w:rsidR="002166C1" w:rsidRPr="00D44BB9">
        <w:t xml:space="preserve"> de</w:t>
      </w:r>
      <w:r w:rsidRPr="00D44BB9">
        <w:t xml:space="preserve"> paiement </w:t>
      </w:r>
      <w:r w:rsidR="002166C1" w:rsidRPr="00D44BB9">
        <w:t>sur</w:t>
      </w:r>
      <w:r w:rsidRPr="00D44BB9">
        <w:t xml:space="preserve"> livraison avec des fournisseurs en son nom ou au nom de l'intimé pour l</w:t>
      </w:r>
      <w:r w:rsidR="002166C1" w:rsidRPr="00D44BB9">
        <w:t>a fourniture</w:t>
      </w:r>
      <w:r w:rsidRPr="00D44BB9">
        <w:t xml:space="preserve"> </w:t>
      </w:r>
      <w:r w:rsidR="002166C1" w:rsidRPr="00D44BB9">
        <w:t>de</w:t>
      </w:r>
      <w:r w:rsidRPr="00D44BB9">
        <w:t xml:space="preserve"> marchandises et services incluant, sans s'y limiter, tous les services liés aux logiciels, à la communication et </w:t>
      </w:r>
      <w:r w:rsidR="007A395C" w:rsidRPr="00D44BB9">
        <w:t>à la</w:t>
      </w:r>
      <w:r w:rsidRPr="00D44BB9">
        <w:t xml:space="preserve"> transmission de données, les services bancaires centralisés, les services de la paye, les assurances, les services de transport, les services publics ou autres </w:t>
      </w:r>
      <w:r w:rsidR="007A395C" w:rsidRPr="00D44BB9">
        <w:t xml:space="preserve">rendus à </w:t>
      </w:r>
      <w:r w:rsidRPr="00D44BB9">
        <w:t xml:space="preserve">l'intimé, ou l'un </w:t>
      </w:r>
      <w:r w:rsidR="007A395C" w:rsidRPr="00D44BB9">
        <w:t>ou</w:t>
      </w:r>
      <w:r w:rsidRPr="00D44BB9">
        <w:t xml:space="preserve"> l'autre d</w:t>
      </w:r>
      <w:r w:rsidR="007A395C" w:rsidRPr="00D44BB9">
        <w:t>e ces services</w:t>
      </w:r>
      <w:r w:rsidRPr="00D44BB9">
        <w:t xml:space="preserve">, si le séquestre </w:t>
      </w:r>
      <w:r w:rsidR="007A395C" w:rsidRPr="00D44BB9">
        <w:t xml:space="preserve">juge appropriée </w:t>
      </w:r>
      <w:r w:rsidRPr="00D44BB9">
        <w:t>l'ouverture de tels comptes</w:t>
      </w:r>
      <w:r w:rsidR="00334EBD" w:rsidRPr="00D44BB9">
        <w:t>.</w:t>
      </w:r>
    </w:p>
    <w:p w:rsidR="00334EBD" w:rsidRPr="004C22D0" w:rsidRDefault="00897980" w:rsidP="003760AF">
      <w:pPr>
        <w:pStyle w:val="ORGenL1"/>
      </w:pPr>
      <w:bookmarkStart w:id="17" w:name="_DV_M71"/>
      <w:bookmarkEnd w:id="17"/>
      <w:r w:rsidRPr="00D44BB9">
        <w:t>Aucun créancier de l'intimé ne peut être obligé</w:t>
      </w:r>
      <w:r w:rsidR="007A395C" w:rsidRPr="00D44BB9">
        <w:t>, en conséquence</w:t>
      </w:r>
      <w:r w:rsidRPr="00D44BB9">
        <w:t xml:space="preserve"> de la présente ordonnance</w:t>
      </w:r>
      <w:r w:rsidR="007A395C" w:rsidRPr="00D44BB9">
        <w:t>,</w:t>
      </w:r>
      <w:r w:rsidRPr="00D44BB9">
        <w:t xml:space="preserve"> de verser des avances ou de nouvelles avances ou d'accorder un crédit à l'intimé</w:t>
      </w:r>
      <w:r w:rsidR="00334EBD" w:rsidRPr="00D44BB9">
        <w:t>.</w:t>
      </w:r>
    </w:p>
    <w:p w:rsidR="00334EBD" w:rsidRPr="004C22D0" w:rsidRDefault="00CB5160" w:rsidP="00C17025">
      <w:pPr>
        <w:pStyle w:val="ORMainHeading"/>
        <w:widowControl/>
        <w:rPr>
          <w:rFonts w:ascii="Franklin Gothic Book" w:hAnsi="Franklin Gothic Book"/>
          <w:lang w:val="fr-CA"/>
        </w:rPr>
      </w:pPr>
      <w:bookmarkStart w:id="18" w:name="_DV_M72"/>
      <w:bookmarkEnd w:id="18"/>
      <w:r w:rsidRPr="00D44BB9">
        <w:rPr>
          <w:rFonts w:ascii="Franklin Gothic Book" w:hAnsi="Franklin Gothic Book"/>
          <w:lang w:val="fr-CA"/>
        </w:rPr>
        <w:t xml:space="preserve">Blocage de fonds par le séquestre </w:t>
      </w:r>
    </w:p>
    <w:p w:rsidR="00334EBD" w:rsidRPr="004C22D0" w:rsidRDefault="00CB5160" w:rsidP="003760AF">
      <w:pPr>
        <w:pStyle w:val="ORGenL1"/>
      </w:pPr>
      <w:bookmarkStart w:id="19" w:name="_DV_M73"/>
      <w:bookmarkEnd w:id="19"/>
      <w:r w:rsidRPr="00D44BB9">
        <w:t>Tous les fonds, sommes</w:t>
      </w:r>
      <w:r w:rsidR="00286A58" w:rsidRPr="00D44BB9">
        <w:t xml:space="preserve"> d’argent</w:t>
      </w:r>
      <w:r w:rsidRPr="00D44BB9">
        <w:t xml:space="preserve">, chèques, instruments et autres formes de paiements reçus ou </w:t>
      </w:r>
      <w:r w:rsidR="00286A58" w:rsidRPr="00D44BB9">
        <w:t>perçus</w:t>
      </w:r>
      <w:r w:rsidRPr="00D44BB9">
        <w:t xml:space="preserve"> par le séquestre </w:t>
      </w:r>
      <w:r w:rsidR="00286A58" w:rsidRPr="00D44BB9">
        <w:t xml:space="preserve">à partir du </w:t>
      </w:r>
      <w:r w:rsidR="002166C1" w:rsidRPr="00D44BB9">
        <w:t>prononcé de</w:t>
      </w:r>
      <w:r w:rsidRPr="00D44BB9">
        <w:t xml:space="preserve"> la présente ordonnance,</w:t>
      </w:r>
      <w:r w:rsidR="00286A58" w:rsidRPr="00D44BB9">
        <w:t xml:space="preserve"> quelle que soit la</w:t>
      </w:r>
      <w:r w:rsidRPr="00D44BB9">
        <w:t xml:space="preserve"> source</w:t>
      </w:r>
      <w:r w:rsidR="00426AAC" w:rsidRPr="00D44BB9">
        <w:t>,</w:t>
      </w:r>
      <w:r w:rsidRPr="00D44BB9">
        <w:t xml:space="preserve"> incluant</w:t>
      </w:r>
      <w:r w:rsidR="00286A58" w:rsidRPr="00D44BB9">
        <w:t>,</w:t>
      </w:r>
      <w:r w:rsidRPr="00D44BB9">
        <w:t xml:space="preserve"> sans s'y limiter</w:t>
      </w:r>
      <w:r w:rsidR="00286A58" w:rsidRPr="00D44BB9">
        <w:t>,</w:t>
      </w:r>
      <w:r w:rsidRPr="00D44BB9">
        <w:t xml:space="preserve"> la vente d'une partie ou de la totalité des biens et </w:t>
      </w:r>
      <w:r w:rsidR="00286A58" w:rsidRPr="00D44BB9">
        <w:t xml:space="preserve">le recouvrement </w:t>
      </w:r>
      <w:r w:rsidRPr="00D44BB9">
        <w:t xml:space="preserve">de tous les comptes à recevoir en tout ou en partie, qu'ils existent à la date </w:t>
      </w:r>
      <w:r w:rsidR="002166C1" w:rsidRPr="00D44BB9">
        <w:t xml:space="preserve">du prononcé </w:t>
      </w:r>
      <w:r w:rsidRPr="00D44BB9">
        <w:t>de la présente ordonnance ou par la suite, doivent être déposés dans un ou plusieurs nouveaux comptes ouverts par le séquestre (</w:t>
      </w:r>
      <w:r w:rsidR="002166C1" w:rsidRPr="00D44BB9">
        <w:t xml:space="preserve">les </w:t>
      </w:r>
      <w:r w:rsidRPr="00D44BB9">
        <w:t>« </w:t>
      </w:r>
      <w:r w:rsidRPr="00D44BB9">
        <w:rPr>
          <w:b/>
        </w:rPr>
        <w:t>comptes après la mise sous séquestre</w:t>
      </w:r>
      <w:r w:rsidRPr="00D44BB9">
        <w:t> ») et</w:t>
      </w:r>
      <w:r w:rsidR="00286A58" w:rsidRPr="00D44BB9">
        <w:t>, s’il y a lieu,</w:t>
      </w:r>
      <w:r w:rsidRPr="00D44BB9">
        <w:t xml:space="preserve"> le solde créditeur de ces comptes après la mise sous séquestre, après </w:t>
      </w:r>
      <w:r w:rsidR="00286A58" w:rsidRPr="00D44BB9">
        <w:t xml:space="preserve">déduction des </w:t>
      </w:r>
      <w:r w:rsidRPr="00D44BB9">
        <w:t>débours prévu</w:t>
      </w:r>
      <w:r w:rsidR="00286A58" w:rsidRPr="00D44BB9">
        <w:t>s</w:t>
      </w:r>
      <w:r w:rsidRPr="00D44BB9">
        <w:t xml:space="preserve"> par les présentes, doit être bloqué par le séquestre pour</w:t>
      </w:r>
      <w:r w:rsidR="002166C1" w:rsidRPr="00D44BB9">
        <w:t xml:space="preserve"> être versé </w:t>
      </w:r>
      <w:r w:rsidRPr="00D44BB9">
        <w:t xml:space="preserve">conformément aux </w:t>
      </w:r>
      <w:r w:rsidR="002166C1" w:rsidRPr="00D44BB9">
        <w:t>modalités</w:t>
      </w:r>
      <w:r w:rsidRPr="00D44BB9">
        <w:t xml:space="preserve"> de la présente ordonnance ou </w:t>
      </w:r>
      <w:r w:rsidR="00426AAC" w:rsidRPr="00D44BB9">
        <w:t xml:space="preserve">de toute </w:t>
      </w:r>
      <w:r w:rsidR="00F40F9A" w:rsidRPr="00D44BB9">
        <w:t xml:space="preserve">autre </w:t>
      </w:r>
      <w:r w:rsidRPr="00D44BB9">
        <w:t xml:space="preserve">ordonnance </w:t>
      </w:r>
      <w:r w:rsidR="00426AAC" w:rsidRPr="00D44BB9">
        <w:t xml:space="preserve">qui sera </w:t>
      </w:r>
      <w:r w:rsidR="00F40F9A" w:rsidRPr="00D44BB9">
        <w:t xml:space="preserve">rendue par le </w:t>
      </w:r>
      <w:r w:rsidRPr="00D44BB9">
        <w:t>tribunal</w:t>
      </w:r>
      <w:r w:rsidR="00334EBD" w:rsidRPr="00D44BB9">
        <w:t>.</w:t>
      </w:r>
    </w:p>
    <w:p w:rsidR="00334EBD" w:rsidRPr="004C22D0" w:rsidRDefault="00334EBD" w:rsidP="00C17025">
      <w:pPr>
        <w:pStyle w:val="ORMainHeading"/>
        <w:keepNext/>
        <w:keepLines/>
        <w:widowControl/>
        <w:rPr>
          <w:rFonts w:ascii="Franklin Gothic Book" w:hAnsi="Franklin Gothic Book"/>
          <w:lang w:val="fr-CA"/>
        </w:rPr>
      </w:pPr>
      <w:bookmarkStart w:id="20" w:name="_DV_M74"/>
      <w:bookmarkEnd w:id="20"/>
      <w:r w:rsidRPr="00D44BB9">
        <w:rPr>
          <w:rFonts w:ascii="Franklin Gothic Book" w:hAnsi="Franklin Gothic Book"/>
          <w:lang w:val="fr-CA"/>
        </w:rPr>
        <w:t>EMPLOY</w:t>
      </w:r>
      <w:r w:rsidR="00CB5160" w:rsidRPr="00D44BB9">
        <w:rPr>
          <w:rFonts w:ascii="Franklin Gothic Book" w:hAnsi="Franklin Gothic Book"/>
          <w:lang w:val="fr-CA"/>
        </w:rPr>
        <w:t>É</w:t>
      </w:r>
      <w:r w:rsidRPr="00D44BB9">
        <w:rPr>
          <w:rFonts w:ascii="Franklin Gothic Book" w:hAnsi="Franklin Gothic Book"/>
          <w:lang w:val="fr-CA"/>
        </w:rPr>
        <w:t>S</w:t>
      </w:r>
    </w:p>
    <w:p w:rsidR="00334EBD" w:rsidRPr="004C22D0" w:rsidRDefault="00787D7E" w:rsidP="003760AF">
      <w:pPr>
        <w:pStyle w:val="ORGenL1"/>
      </w:pPr>
      <w:bookmarkStart w:id="21" w:name="_DV_M75"/>
      <w:bookmarkEnd w:id="21"/>
      <w:r w:rsidRPr="00D44BB9">
        <w:t>Tous les employés de l'intimé resteront</w:t>
      </w:r>
      <w:r w:rsidR="00E27A3D" w:rsidRPr="00D44BB9">
        <w:t xml:space="preserve"> </w:t>
      </w:r>
      <w:r w:rsidR="002166C1" w:rsidRPr="00D44BB9">
        <w:t xml:space="preserve">à son service </w:t>
      </w:r>
      <w:r w:rsidRPr="00D44BB9">
        <w:t>jusqu'à ce que le séquestre, au nom de l'intimé, mette fin à l</w:t>
      </w:r>
      <w:r w:rsidR="002166C1" w:rsidRPr="00D44BB9">
        <w:t xml:space="preserve">eur </w:t>
      </w:r>
      <w:r w:rsidRPr="00D44BB9">
        <w:t xml:space="preserve">emploi ou que </w:t>
      </w:r>
      <w:r w:rsidR="002166C1" w:rsidRPr="00D44BB9">
        <w:t xml:space="preserve">les employés </w:t>
      </w:r>
      <w:r w:rsidRPr="00D44BB9">
        <w:t xml:space="preserve">démissionnent conformément à leur contrat de </w:t>
      </w:r>
      <w:r w:rsidR="00BD0B01" w:rsidRPr="00D44BB9">
        <w:t>travail. Le</w:t>
      </w:r>
      <w:r w:rsidRPr="00D44BB9">
        <w:t xml:space="preserve"> séquestre </w:t>
      </w:r>
      <w:r w:rsidR="00E27A3D" w:rsidRPr="00D44BB9">
        <w:t>est dégagé de toute responsabilité personnelle, en conséquence de</w:t>
      </w:r>
      <w:r w:rsidRPr="00D44BB9">
        <w:t xml:space="preserve"> la présente ordonnance</w:t>
      </w:r>
      <w:r w:rsidR="00E27A3D" w:rsidRPr="00D44BB9">
        <w:t>,</w:t>
      </w:r>
      <w:r w:rsidRPr="00D44BB9">
        <w:t xml:space="preserve"> </w:t>
      </w:r>
      <w:r w:rsidR="00E27A3D" w:rsidRPr="00D44BB9">
        <w:t>concernant</w:t>
      </w:r>
      <w:r w:rsidRPr="00D44BB9">
        <w:t xml:space="preserve"> les passifs liés au personnel, </w:t>
      </w:r>
      <w:r w:rsidR="00E27A3D" w:rsidRPr="00D44BB9">
        <w:t>notamment</w:t>
      </w:r>
      <w:r w:rsidRPr="00D44BB9">
        <w:t xml:space="preserve"> les passifs </w:t>
      </w:r>
      <w:r w:rsidR="00E27A3D" w:rsidRPr="00D44BB9">
        <w:t xml:space="preserve">à titre </w:t>
      </w:r>
      <w:r w:rsidRPr="00D44BB9">
        <w:t>d'employeur su</w:t>
      </w:r>
      <w:r w:rsidR="00E27A3D" w:rsidRPr="00D44BB9">
        <w:t>ccesseur</w:t>
      </w:r>
      <w:r w:rsidRPr="00D44BB9">
        <w:t>, comme le prévoit le paragraphe </w:t>
      </w:r>
      <w:r w:rsidR="00334EBD" w:rsidRPr="00D44BB9">
        <w:t>14.06(1.2)</w:t>
      </w:r>
      <w:r w:rsidRPr="00D44BB9">
        <w:t xml:space="preserve"> de la </w:t>
      </w:r>
      <w:r w:rsidRPr="00D44BB9">
        <w:rPr>
          <w:i/>
        </w:rPr>
        <w:t>Loi sur la faillite et l'insolvabilité</w:t>
      </w:r>
      <w:r w:rsidRPr="00D44BB9">
        <w:t>, les salaires, indemnité</w:t>
      </w:r>
      <w:r w:rsidR="00E27A3D" w:rsidRPr="00D44BB9">
        <w:t>s</w:t>
      </w:r>
      <w:r w:rsidRPr="00D44BB9">
        <w:t xml:space="preserve"> de départ, indemnité</w:t>
      </w:r>
      <w:r w:rsidR="00E27A3D" w:rsidRPr="00D44BB9">
        <w:t>s</w:t>
      </w:r>
      <w:r w:rsidRPr="00D44BB9">
        <w:t xml:space="preserve"> de cessation d'emploi, indemnités de vacances et pensions ou prestations, autres que les montants que le séquestre peut </w:t>
      </w:r>
      <w:r w:rsidR="00E27A3D" w:rsidRPr="00D44BB9">
        <w:t xml:space="preserve">précisément </w:t>
      </w:r>
      <w:r w:rsidRPr="00D44BB9">
        <w:t>convenir par écrit</w:t>
      </w:r>
      <w:r w:rsidR="00E27A3D" w:rsidRPr="00D44BB9">
        <w:t xml:space="preserve"> de payer</w:t>
      </w:r>
      <w:r w:rsidRPr="00D44BB9">
        <w:t xml:space="preserve">, ou conformément à ses obligations </w:t>
      </w:r>
      <w:r w:rsidR="00E27A3D" w:rsidRPr="00D44BB9">
        <w:t xml:space="preserve">prévues aux </w:t>
      </w:r>
      <w:r w:rsidRPr="00D44BB9">
        <w:t>paragraphes </w:t>
      </w:r>
      <w:r w:rsidR="00334EBD" w:rsidRPr="00D44BB9">
        <w:t>81.4(5)</w:t>
      </w:r>
      <w:r w:rsidRPr="00D44BB9">
        <w:t xml:space="preserve"> et </w:t>
      </w:r>
      <w:r w:rsidR="00334EBD" w:rsidRPr="00D44BB9">
        <w:t>81.6(3</w:t>
      </w:r>
      <w:r w:rsidR="00E27A3D" w:rsidRPr="00D44BB9">
        <w:t>)</w:t>
      </w:r>
      <w:r w:rsidRPr="00D44BB9">
        <w:t xml:space="preserve"> de la </w:t>
      </w:r>
      <w:r w:rsidRPr="00D44BB9">
        <w:rPr>
          <w:i/>
        </w:rPr>
        <w:t>Loi sur la faillite et l'insolvabilité</w:t>
      </w:r>
      <w:r w:rsidRPr="00D44BB9">
        <w:t xml:space="preserve"> ou de la </w:t>
      </w:r>
      <w:r w:rsidRPr="00D44BB9">
        <w:rPr>
          <w:i/>
        </w:rPr>
        <w:t>Loi sur l</w:t>
      </w:r>
      <w:r w:rsidR="00E27A3D" w:rsidRPr="00D44BB9">
        <w:rPr>
          <w:i/>
        </w:rPr>
        <w:t>e Programme de</w:t>
      </w:r>
      <w:r w:rsidRPr="00D44BB9">
        <w:rPr>
          <w:i/>
        </w:rPr>
        <w:t xml:space="preserve"> protection des salariés</w:t>
      </w:r>
      <w:r w:rsidRPr="00D44BB9">
        <w:t>, ces montants pouvant être déterminés au cours d'une procédure devant une cour ou un tribunal compéten</w:t>
      </w:r>
      <w:r w:rsidR="00E27A3D" w:rsidRPr="00D44BB9">
        <w:t>t</w:t>
      </w:r>
      <w:r w:rsidR="00334EBD" w:rsidRPr="00D44BB9">
        <w:t>.</w:t>
      </w:r>
    </w:p>
    <w:p w:rsidR="00334EBD" w:rsidRPr="004C22D0" w:rsidRDefault="00787D7E" w:rsidP="003760AF">
      <w:pPr>
        <w:pStyle w:val="ORGenL1"/>
      </w:pPr>
      <w:bookmarkStart w:id="22" w:name="_DV_M76"/>
      <w:bookmarkEnd w:id="22"/>
      <w:r w:rsidRPr="00D44BB9">
        <w:t>Conformément à l'alinéa </w:t>
      </w:r>
      <w:r w:rsidR="00334EBD" w:rsidRPr="00D44BB9">
        <w:t>7(3)</w:t>
      </w:r>
      <w:r w:rsidR="00334EBD" w:rsidRPr="00D44BB9">
        <w:rPr>
          <w:i/>
        </w:rPr>
        <w:t>c)</w:t>
      </w:r>
      <w:r w:rsidRPr="00D44BB9">
        <w:t xml:space="preserve"> de la </w:t>
      </w:r>
      <w:r w:rsidRPr="00D44BB9">
        <w:rPr>
          <w:i/>
        </w:rPr>
        <w:t>Loi sur la protection des renseignements personnels et les documents électroniques</w:t>
      </w:r>
      <w:r w:rsidRPr="00D44BB9">
        <w:t xml:space="preserve">, le séquestre peut divulguer des renseignements personnels de personnes </w:t>
      </w:r>
      <w:r w:rsidR="00E27A3D" w:rsidRPr="00D44BB9">
        <w:t xml:space="preserve">identifiables </w:t>
      </w:r>
      <w:r w:rsidRPr="00D44BB9">
        <w:t xml:space="preserve">à des soumissionnaires </w:t>
      </w:r>
      <w:r w:rsidR="00E27A3D" w:rsidRPr="00D44BB9">
        <w:t xml:space="preserve">ou acheteurs </w:t>
      </w:r>
      <w:r w:rsidRPr="00D44BB9">
        <w:t xml:space="preserve">éventuels </w:t>
      </w:r>
      <w:r w:rsidR="00E27A3D" w:rsidRPr="00D44BB9">
        <w:t>d</w:t>
      </w:r>
      <w:r w:rsidRPr="00D44BB9">
        <w:t xml:space="preserve">es biens et à leurs conseillers, mais seulement dans la mesure où cela est souhaitable ou nécessaire pour négocier </w:t>
      </w:r>
      <w:r w:rsidR="00E27A3D" w:rsidRPr="00D44BB9">
        <w:t xml:space="preserve">en vue de conclure </w:t>
      </w:r>
      <w:r w:rsidRPr="00D44BB9">
        <w:t>une ou des ventes de</w:t>
      </w:r>
      <w:r w:rsidR="00E27A3D" w:rsidRPr="00D44BB9">
        <w:t>s</w:t>
      </w:r>
      <w:r w:rsidRPr="00D44BB9">
        <w:t xml:space="preserve"> biens (chacune étant une « </w:t>
      </w:r>
      <w:r w:rsidRPr="00D44BB9">
        <w:rPr>
          <w:b/>
        </w:rPr>
        <w:t>vente</w:t>
      </w:r>
      <w:r w:rsidRPr="00D44BB9">
        <w:t> ») tel que l</w:t>
      </w:r>
      <w:r w:rsidR="002166C1" w:rsidRPr="00D44BB9">
        <w:t xml:space="preserve">’autorise la </w:t>
      </w:r>
      <w:r w:rsidR="002166C1" w:rsidRPr="00A16634">
        <w:t>loi</w:t>
      </w:r>
      <w:r w:rsidR="00334EBD" w:rsidRPr="00A16634">
        <w:t>.</w:t>
      </w:r>
      <w:r w:rsidR="00A16634" w:rsidRPr="00A16634">
        <w:t xml:space="preserve"> </w:t>
      </w:r>
      <w:r w:rsidRPr="00A16634">
        <w:t>Chaque acheteur</w:t>
      </w:r>
      <w:r w:rsidRPr="00D44BB9">
        <w:t xml:space="preserve"> ou soumissionnaire éventuel à qui sont divulgués de tels renseignements personnels doit maintenir et protéger le caractère privé de ces renseignements et limiter l'utilisation de ces renseignements à son évaluation de la vente et</w:t>
      </w:r>
      <w:r w:rsidR="00E27A3D" w:rsidRPr="00D44BB9">
        <w:t>,</w:t>
      </w:r>
      <w:r w:rsidRPr="00D44BB9">
        <w:t xml:space="preserve"> si la vente n'est pas conclue, il doit retourner tous ces renseignements au séquestre ou détruire tous ces renseignements</w:t>
      </w:r>
      <w:r w:rsidR="00334EBD" w:rsidRPr="00D44BB9">
        <w:t>.</w:t>
      </w:r>
      <w:r w:rsidR="00E27A3D" w:rsidRPr="00D44BB9">
        <w:rPr>
          <w:rStyle w:val="tw4winMark"/>
          <w:vanish w:val="0"/>
          <w:color w:val="auto"/>
        </w:rPr>
        <w:t xml:space="preserve"> </w:t>
      </w:r>
      <w:r w:rsidRPr="00D44BB9">
        <w:t>Un acheteur ou soumissionnaire éventuel qui demande la divulgation de renseignements personnels doit passer de</w:t>
      </w:r>
      <w:r w:rsidR="00E27A3D" w:rsidRPr="00D44BB9">
        <w:t xml:space="preserve"> tels documents pour confirmer qu’il accepte</w:t>
      </w:r>
      <w:r w:rsidRPr="00D44BB9">
        <w:t xml:space="preserve"> de </w:t>
      </w:r>
      <w:r w:rsidR="00E27A3D" w:rsidRPr="00D44BB9">
        <w:t xml:space="preserve">maintenir </w:t>
      </w:r>
      <w:r w:rsidRPr="00D44BB9">
        <w:t xml:space="preserve">la </w:t>
      </w:r>
      <w:r w:rsidR="00E27A3D" w:rsidRPr="00D44BB9">
        <w:t xml:space="preserve">nature </w:t>
      </w:r>
      <w:r w:rsidRPr="00D44BB9">
        <w:t>confidenti</w:t>
      </w:r>
      <w:r w:rsidR="00E27A3D" w:rsidRPr="00D44BB9">
        <w:t>elle</w:t>
      </w:r>
      <w:r w:rsidRPr="00D44BB9">
        <w:t xml:space="preserve"> de ces renseignements </w:t>
      </w:r>
      <w:r w:rsidR="00E27A3D" w:rsidRPr="00D44BB9">
        <w:t xml:space="preserve">à des </w:t>
      </w:r>
      <w:r w:rsidRPr="00D44BB9">
        <w:t>conditions acceptables par le séquestre</w:t>
      </w:r>
      <w:r w:rsidR="00334EBD" w:rsidRPr="00D44BB9">
        <w:t>.</w:t>
      </w:r>
      <w:r w:rsidR="00E27A3D" w:rsidRPr="00D44BB9">
        <w:rPr>
          <w:rStyle w:val="tw4winMark"/>
          <w:vanish w:val="0"/>
          <w:color w:val="auto"/>
        </w:rPr>
        <w:t xml:space="preserve"> </w:t>
      </w:r>
      <w:r w:rsidRPr="00D44BB9">
        <w:t xml:space="preserve">L'acheteur de tout bien </w:t>
      </w:r>
      <w:r w:rsidR="00E27A3D" w:rsidRPr="00D44BB9">
        <w:t>est</w:t>
      </w:r>
      <w:r w:rsidRPr="00D44BB9">
        <w:t xml:space="preserve"> autorisé à continuer à utiliser les renseignements personnels </w:t>
      </w:r>
      <w:r w:rsidR="00E27A3D" w:rsidRPr="00D44BB9">
        <w:t xml:space="preserve">qui lui sont transmis </w:t>
      </w:r>
      <w:r w:rsidR="00943063" w:rsidRPr="00D44BB9">
        <w:t xml:space="preserve">au sujet </w:t>
      </w:r>
      <w:r w:rsidRPr="00D44BB9">
        <w:t xml:space="preserve">bien acheté d'une manière qui, à tous égards, </w:t>
      </w:r>
      <w:r w:rsidR="002166C1" w:rsidRPr="00D44BB9">
        <w:t>correspond</w:t>
      </w:r>
      <w:r w:rsidRPr="00D44BB9">
        <w:t xml:space="preserve"> à l'utilisation de ces renseignements </w:t>
      </w:r>
      <w:r w:rsidR="002166C1" w:rsidRPr="00D44BB9">
        <w:t xml:space="preserve">que </w:t>
      </w:r>
      <w:r w:rsidR="007C7971" w:rsidRPr="00D44BB9">
        <w:t>pouvait</w:t>
      </w:r>
      <w:r w:rsidR="002166C1" w:rsidRPr="00D44BB9">
        <w:t xml:space="preserve"> en faire l’intimé </w:t>
      </w:r>
      <w:r w:rsidR="00E27A3D" w:rsidRPr="00D44BB9">
        <w:t>auparavant,</w:t>
      </w:r>
      <w:r w:rsidRPr="00D44BB9">
        <w:t xml:space="preserve"> et il doit retourner tous les autres renseignements personnels au séquestre ou veiller à ce que tous les autres renseignements personnels soient détruits</w:t>
      </w:r>
      <w:r w:rsidR="00334EBD" w:rsidRPr="00D44BB9">
        <w:t>.</w:t>
      </w:r>
    </w:p>
    <w:p w:rsidR="00334EBD" w:rsidRPr="004C22D0" w:rsidRDefault="00334EBD" w:rsidP="00C17025">
      <w:pPr>
        <w:pStyle w:val="ORMainHeading"/>
        <w:widowControl/>
        <w:rPr>
          <w:rFonts w:ascii="Franklin Gothic Book" w:hAnsi="Franklin Gothic Book"/>
          <w:lang w:val="fr-CA"/>
        </w:rPr>
      </w:pPr>
      <w:bookmarkStart w:id="23" w:name="_DV_M77"/>
      <w:bookmarkEnd w:id="23"/>
      <w:r w:rsidRPr="00D44BB9">
        <w:rPr>
          <w:rFonts w:ascii="Franklin Gothic Book" w:hAnsi="Franklin Gothic Book"/>
          <w:lang w:val="fr-CA"/>
        </w:rPr>
        <w:t>LIMIT</w:t>
      </w:r>
      <w:r w:rsidR="00D972F8" w:rsidRPr="00D44BB9">
        <w:rPr>
          <w:rFonts w:ascii="Franklin Gothic Book" w:hAnsi="Franklin Gothic Book"/>
          <w:lang w:val="fr-CA"/>
        </w:rPr>
        <w:t xml:space="preserve">E DE </w:t>
      </w:r>
      <w:r w:rsidR="009B1A4D" w:rsidRPr="00D44BB9">
        <w:rPr>
          <w:rFonts w:ascii="Franklin Gothic Book" w:hAnsi="Franklin Gothic Book"/>
          <w:lang w:val="fr-CA"/>
        </w:rPr>
        <w:t xml:space="preserve">LA </w:t>
      </w:r>
      <w:r w:rsidR="00D972F8" w:rsidRPr="00D44BB9">
        <w:rPr>
          <w:rFonts w:ascii="Franklin Gothic Book" w:hAnsi="Franklin Gothic Book"/>
          <w:lang w:val="fr-CA"/>
        </w:rPr>
        <w:t xml:space="preserve">responsabilité </w:t>
      </w:r>
      <w:r w:rsidR="00A23609" w:rsidRPr="00D44BB9">
        <w:rPr>
          <w:rFonts w:ascii="Franklin Gothic Book" w:hAnsi="Franklin Gothic Book"/>
          <w:lang w:val="fr-CA"/>
        </w:rPr>
        <w:t>ENVIRONNEMENTALE</w:t>
      </w:r>
      <w:r w:rsidR="00D972F8" w:rsidRPr="00D44BB9">
        <w:rPr>
          <w:rStyle w:val="tw4winMark"/>
          <w:color w:val="auto"/>
          <w:lang w:val="fr-CA"/>
        </w:rPr>
        <w:t xml:space="preserve"> </w:t>
      </w:r>
    </w:p>
    <w:p w:rsidR="00334EBD" w:rsidRPr="004C22D0" w:rsidRDefault="009B1A4D" w:rsidP="003760AF">
      <w:pPr>
        <w:pStyle w:val="ORGenL1"/>
      </w:pPr>
      <w:bookmarkStart w:id="24" w:name="_DV_M78"/>
      <w:bookmarkEnd w:id="24"/>
      <w:r w:rsidRPr="00D44BB9">
        <w:t xml:space="preserve">Rien dans les présentes ne doit faire en sorte que le séquestre soit tenu ou obligé </w:t>
      </w:r>
      <w:r w:rsidR="00FF53FD" w:rsidRPr="00D44BB9">
        <w:t>d’occuper un bien ou d’en</w:t>
      </w:r>
      <w:r w:rsidRPr="00D44BB9">
        <w:t xml:space="preserve"> prendre le contrôle, la charge, la possession ou la gestion ou </w:t>
      </w:r>
      <w:r w:rsidR="00FF53FD" w:rsidRPr="00D44BB9">
        <w:t>de</w:t>
      </w:r>
      <w:r w:rsidRPr="00D44BB9">
        <w:t xml:space="preserve"> s’en occuper (</w:t>
      </w:r>
      <w:r w:rsidR="00FF53FD" w:rsidRPr="00D44BB9">
        <w:t>des actes</w:t>
      </w:r>
      <w:r w:rsidRPr="00D44BB9">
        <w:t xml:space="preserve"> appel</w:t>
      </w:r>
      <w:r w:rsidR="00FF53FD" w:rsidRPr="00D44BB9">
        <w:t>és</w:t>
      </w:r>
      <w:r w:rsidRPr="00D44BB9">
        <w:t xml:space="preserve"> séparément et collectivement une « </w:t>
      </w:r>
      <w:r w:rsidRPr="00D44BB9">
        <w:rPr>
          <w:b/>
        </w:rPr>
        <w:t>possession</w:t>
      </w:r>
      <w:r w:rsidRPr="00D44BB9">
        <w:t> »)</w:t>
      </w:r>
      <w:r w:rsidR="002166C1" w:rsidRPr="00D44BB9">
        <w:t>, qu’il s’agisse d’un</w:t>
      </w:r>
      <w:r w:rsidRPr="00D44BB9">
        <w:t xml:space="preserve"> bien ou d</w:t>
      </w:r>
      <w:r w:rsidR="002166C1" w:rsidRPr="00D44BB9">
        <w:t>’un</w:t>
      </w:r>
      <w:r w:rsidRPr="00D44BB9">
        <w:t xml:space="preserve">e partie d’un bien </w:t>
      </w:r>
      <w:r w:rsidR="002166C1" w:rsidRPr="00D44BB9">
        <w:t xml:space="preserve">dont l’environnement peut être </w:t>
      </w:r>
      <w:r w:rsidRPr="00D44BB9">
        <w:t xml:space="preserve">contaminé, </w:t>
      </w:r>
      <w:r w:rsidR="002166C1" w:rsidRPr="00D44BB9">
        <w:t xml:space="preserve">qui peut </w:t>
      </w:r>
      <w:r w:rsidRPr="00D44BB9">
        <w:t>être un polluant ou un contaminant</w:t>
      </w:r>
      <w:r w:rsidR="00FF53FD" w:rsidRPr="00D44BB9">
        <w:t>,</w:t>
      </w:r>
      <w:r w:rsidRPr="00D44BB9">
        <w:t xml:space="preserve"> ou </w:t>
      </w:r>
      <w:r w:rsidR="002166C1" w:rsidRPr="00D44BB9">
        <w:t>qui peut</w:t>
      </w:r>
      <w:r w:rsidRPr="00D44BB9">
        <w:t xml:space="preserve"> causer un déversement, une décharge, la libération ou le dépôt d’une substance ou contribuer à un tel événement, en contravention d'une loi, d'un statut, d’un règlement, d'une règle de procédure, </w:t>
      </w:r>
      <w:r w:rsidR="002166C1" w:rsidRPr="00D44BB9">
        <w:t xml:space="preserve">ou </w:t>
      </w:r>
      <w:r w:rsidRPr="00D44BB9">
        <w:t>d’une règle de l’équité concernant la protection, la conservation, la mise en valeur, l</w:t>
      </w:r>
      <w:r w:rsidR="002166C1" w:rsidRPr="00D44BB9">
        <w:t>’assainissement</w:t>
      </w:r>
      <w:r w:rsidRPr="00D44BB9">
        <w:t xml:space="preserve"> ou la </w:t>
      </w:r>
      <w:r w:rsidR="00005B58" w:rsidRPr="00D44BB9">
        <w:t>restauration</w:t>
      </w:r>
      <w:r w:rsidRPr="00D44BB9">
        <w:t xml:space="preserve"> de l'environnement ou concernant l'élimination de déchets ou d'autres substances contaminées incluant, sans s'y limiter, la </w:t>
      </w:r>
      <w:r w:rsidRPr="00D44BB9">
        <w:rPr>
          <w:i/>
        </w:rPr>
        <w:t>Loi canadienne sur la protection de l'environnement (1999)</w:t>
      </w:r>
      <w:r w:rsidRPr="00D44BB9">
        <w:t xml:space="preserve">, la </w:t>
      </w:r>
      <w:r w:rsidRPr="00D44BB9">
        <w:rPr>
          <w:i/>
        </w:rPr>
        <w:t>Loi sur l'assainissement de l'eau</w:t>
      </w:r>
      <w:r w:rsidRPr="00D44BB9">
        <w:t xml:space="preserve"> (Nouveau-Brunswick), la </w:t>
      </w:r>
      <w:r w:rsidRPr="00D44BB9">
        <w:rPr>
          <w:i/>
        </w:rPr>
        <w:t>Loi sur l'assainissement de l'environnement</w:t>
      </w:r>
      <w:r w:rsidRPr="00D44BB9">
        <w:t xml:space="preserve"> (Nouveau-Brunswick), la </w:t>
      </w:r>
      <w:r w:rsidRPr="00D44BB9">
        <w:rPr>
          <w:i/>
        </w:rPr>
        <w:t>Loi sur l'assainissement de l'air</w:t>
      </w:r>
      <w:r w:rsidRPr="00D44BB9">
        <w:t xml:space="preserve"> (Nouveau-Brunswick), et la </w:t>
      </w:r>
      <w:r w:rsidRPr="00D44BB9">
        <w:rPr>
          <w:i/>
        </w:rPr>
        <w:t>Loi sur les lieux inesthétiques</w:t>
      </w:r>
      <w:r w:rsidRPr="00D44BB9">
        <w:t xml:space="preserve"> (Nouveau-Brunswick) (collectivement appelées les </w:t>
      </w:r>
      <w:r w:rsidR="00FF53FD" w:rsidRPr="00D44BB9">
        <w:t>« </w:t>
      </w:r>
      <w:r w:rsidRPr="00D44BB9">
        <w:rPr>
          <w:b/>
        </w:rPr>
        <w:t>lois sur l'environnement</w:t>
      </w:r>
      <w:r w:rsidR="00FF53FD" w:rsidRPr="00D44BB9">
        <w:t> »</w:t>
      </w:r>
      <w:r w:rsidRPr="00D44BB9">
        <w:t xml:space="preserve">), étant entendu toutefois que rien dans les présentes n’exempte le séquestre de tout devoir de </w:t>
      </w:r>
      <w:r w:rsidR="002166C1" w:rsidRPr="00D44BB9">
        <w:t>signal</w:t>
      </w:r>
      <w:r w:rsidR="00426AAC" w:rsidRPr="00D44BB9">
        <w:t>er</w:t>
      </w:r>
      <w:r w:rsidR="002166C1" w:rsidRPr="00D44BB9">
        <w:t xml:space="preserve"> </w:t>
      </w:r>
      <w:r w:rsidRPr="00D44BB9">
        <w:t>ou de divulg</w:t>
      </w:r>
      <w:r w:rsidR="00426AAC" w:rsidRPr="00D44BB9">
        <w:t xml:space="preserve">uer des renseignements, </w:t>
      </w:r>
      <w:r w:rsidRPr="00D44BB9">
        <w:t>imposé par les lois sur l'environnement applicables</w:t>
      </w:r>
      <w:r w:rsidR="00334EBD" w:rsidRPr="00D44BB9">
        <w:t>.</w:t>
      </w:r>
    </w:p>
    <w:p w:rsidR="00334EBD" w:rsidRPr="004C22D0" w:rsidRDefault="00334EBD" w:rsidP="00C17025">
      <w:pPr>
        <w:pStyle w:val="ORMainHeading"/>
        <w:widowControl/>
        <w:rPr>
          <w:rFonts w:ascii="Franklin Gothic Book" w:hAnsi="Franklin Gothic Book"/>
          <w:lang w:val="fr-CA"/>
        </w:rPr>
      </w:pPr>
      <w:bookmarkStart w:id="25" w:name="_DV_M79"/>
      <w:bookmarkEnd w:id="25"/>
      <w:r w:rsidRPr="00D44BB9">
        <w:rPr>
          <w:rFonts w:ascii="Franklin Gothic Book" w:hAnsi="Franklin Gothic Book"/>
          <w:lang w:val="fr-CA"/>
        </w:rPr>
        <w:t>LIMIT</w:t>
      </w:r>
      <w:r w:rsidR="009F7F86" w:rsidRPr="00D44BB9">
        <w:rPr>
          <w:rFonts w:ascii="Franklin Gothic Book" w:hAnsi="Franklin Gothic Book"/>
          <w:lang w:val="fr-CA"/>
        </w:rPr>
        <w:t xml:space="preserve">E DE LA responsabilité </w:t>
      </w:r>
    </w:p>
    <w:p w:rsidR="00334EBD" w:rsidRPr="004C22D0" w:rsidRDefault="00334EBD" w:rsidP="003760AF">
      <w:pPr>
        <w:pStyle w:val="ORGenL1"/>
      </w:pPr>
      <w:bookmarkStart w:id="26" w:name="_DV_M80"/>
      <w:bookmarkEnd w:id="26"/>
      <w:r w:rsidRPr="00D44BB9">
        <w:t>[</w:t>
      </w:r>
      <w:r w:rsidR="009F7F86" w:rsidRPr="00D44BB9">
        <w:t>Nom du séquestre</w:t>
      </w:r>
      <w:r w:rsidRPr="00D44BB9">
        <w:t>]</w:t>
      </w:r>
      <w:r w:rsidR="002166C1" w:rsidRPr="00D44BB9">
        <w:t xml:space="preserve"> et</w:t>
      </w:r>
      <w:r w:rsidR="009F7F86" w:rsidRPr="00D44BB9">
        <w:t>, sans s'y limiter, les</w:t>
      </w:r>
      <w:r w:rsidR="00E36404" w:rsidRPr="00D44BB9">
        <w:t xml:space="preserve"> </w:t>
      </w:r>
      <w:r w:rsidR="009F7F86" w:rsidRPr="00D44BB9">
        <w:t>administrateurs</w:t>
      </w:r>
      <w:r w:rsidR="00E36404" w:rsidRPr="00D44BB9">
        <w:t>, dirigeants</w:t>
      </w:r>
      <w:r w:rsidR="009F7F86" w:rsidRPr="00D44BB9">
        <w:t xml:space="preserve"> ou employés du séquestre, </w:t>
      </w:r>
      <w:r w:rsidR="002166C1" w:rsidRPr="00D44BB9">
        <w:t>sont</w:t>
      </w:r>
      <w:r w:rsidR="00FF53FD" w:rsidRPr="00D44BB9">
        <w:t xml:space="preserve"> dégagé</w:t>
      </w:r>
      <w:r w:rsidR="002166C1" w:rsidRPr="00D44BB9">
        <w:t>s</w:t>
      </w:r>
      <w:r w:rsidR="00FF53FD" w:rsidRPr="00D44BB9">
        <w:t xml:space="preserve"> de toute </w:t>
      </w:r>
      <w:r w:rsidR="009F7F86" w:rsidRPr="00D44BB9">
        <w:t>responsabilité ou obligation</w:t>
      </w:r>
      <w:r w:rsidR="002166C1" w:rsidRPr="00D44BB9">
        <w:t>, pour le séquestre,</w:t>
      </w:r>
      <w:r w:rsidR="00FF53FD" w:rsidRPr="00D44BB9">
        <w:t xml:space="preserve"> </w:t>
      </w:r>
      <w:r w:rsidR="00632CB3" w:rsidRPr="00D44BB9">
        <w:t xml:space="preserve">en conséquence </w:t>
      </w:r>
      <w:r w:rsidR="00FF53FD" w:rsidRPr="00D44BB9">
        <w:t>de</w:t>
      </w:r>
      <w:r w:rsidR="009F7F86" w:rsidRPr="00D44BB9">
        <w:t xml:space="preserve"> sa nomination </w:t>
      </w:r>
      <w:r w:rsidR="002166C1" w:rsidRPr="00D44BB9">
        <w:t>en cette qualité et, pour le séquestre et les administrateurs</w:t>
      </w:r>
      <w:r w:rsidR="00E36404" w:rsidRPr="00D44BB9">
        <w:t>, dirigeants</w:t>
      </w:r>
      <w:r w:rsidR="002166C1" w:rsidRPr="00D44BB9">
        <w:t xml:space="preserve"> ou employés du séquestre,</w:t>
      </w:r>
      <w:r w:rsidR="009F7F86" w:rsidRPr="00D44BB9">
        <w:t xml:space="preserve"> </w:t>
      </w:r>
      <w:r w:rsidR="00632CB3" w:rsidRPr="00D44BB9">
        <w:t xml:space="preserve">dans la mesure où ils agissent en cette qualité, </w:t>
      </w:r>
      <w:r w:rsidR="00E36404" w:rsidRPr="00D44BB9">
        <w:t xml:space="preserve">en conséquence </w:t>
      </w:r>
      <w:r w:rsidR="00FF53FD" w:rsidRPr="00D44BB9">
        <w:t>de</w:t>
      </w:r>
      <w:r w:rsidR="009F7F86" w:rsidRPr="00D44BB9">
        <w:t xml:space="preserve"> l'exécution de la présente ordonnance</w:t>
      </w:r>
      <w:r w:rsidR="002166C1" w:rsidRPr="00D44BB9">
        <w:t>,</w:t>
      </w:r>
      <w:r w:rsidR="009F7F86" w:rsidRPr="00D44BB9">
        <w:t xml:space="preserve"> </w:t>
      </w:r>
      <w:r w:rsidR="00FF53FD" w:rsidRPr="00D44BB9">
        <w:t>à l’exclusion de</w:t>
      </w:r>
      <w:r w:rsidR="009F7F86" w:rsidRPr="00D44BB9">
        <w:t xml:space="preserve"> tou</w:t>
      </w:r>
      <w:r w:rsidR="00FF53FD" w:rsidRPr="00D44BB9">
        <w:t>t</w:t>
      </w:r>
      <w:r w:rsidR="009F7F86" w:rsidRPr="00D44BB9">
        <w:t xml:space="preserve"> cas de négligence gr</w:t>
      </w:r>
      <w:r w:rsidR="002166C1" w:rsidRPr="00D44BB9">
        <w:t>ossière</w:t>
      </w:r>
      <w:r w:rsidR="009F7F86" w:rsidRPr="00D44BB9">
        <w:t xml:space="preserve">, </w:t>
      </w:r>
      <w:r w:rsidR="00632CB3" w:rsidRPr="00D44BB9">
        <w:t>manquement à un</w:t>
      </w:r>
      <w:r w:rsidR="009F7F86" w:rsidRPr="00D44BB9">
        <w:t xml:space="preserve"> contrat, inconduite donnant ouverture à </w:t>
      </w:r>
      <w:r w:rsidR="002166C1" w:rsidRPr="00D44BB9">
        <w:t>un recours</w:t>
      </w:r>
      <w:r w:rsidR="009F7F86" w:rsidRPr="00D44BB9">
        <w:t xml:space="preserve"> de la part de l'une de ces parties, ou </w:t>
      </w:r>
      <w:r w:rsidR="002166C1" w:rsidRPr="00D44BB9">
        <w:t xml:space="preserve">relativement aux </w:t>
      </w:r>
      <w:r w:rsidR="009F7F86" w:rsidRPr="00D44BB9">
        <w:t xml:space="preserve">obligations du séquestre </w:t>
      </w:r>
      <w:r w:rsidR="00FF53FD" w:rsidRPr="00D44BB9">
        <w:t xml:space="preserve">prévues aux </w:t>
      </w:r>
      <w:r w:rsidR="009F7F86" w:rsidRPr="00D44BB9">
        <w:t>paragraphes </w:t>
      </w:r>
      <w:r w:rsidRPr="00D44BB9">
        <w:t xml:space="preserve">81.4(5) </w:t>
      </w:r>
      <w:r w:rsidR="009F7F86" w:rsidRPr="00D44BB9">
        <w:t>et </w:t>
      </w:r>
      <w:r w:rsidRPr="00D44BB9">
        <w:t>81.6(3)</w:t>
      </w:r>
      <w:r w:rsidR="009F7F86" w:rsidRPr="00D44BB9">
        <w:t xml:space="preserve"> de la </w:t>
      </w:r>
      <w:r w:rsidR="009F7F86" w:rsidRPr="00D44BB9">
        <w:rPr>
          <w:i/>
        </w:rPr>
        <w:t>Loi sur la faillite et l'insolvabilité</w:t>
      </w:r>
      <w:r w:rsidR="009F7F86" w:rsidRPr="00D44BB9">
        <w:t xml:space="preserve"> ou de la </w:t>
      </w:r>
      <w:r w:rsidR="009F7F86" w:rsidRPr="00D44BB9">
        <w:rPr>
          <w:i/>
        </w:rPr>
        <w:t xml:space="preserve">Loi sur </w:t>
      </w:r>
      <w:r w:rsidR="00FF53FD" w:rsidRPr="00D44BB9">
        <w:rPr>
          <w:i/>
        </w:rPr>
        <w:t>le Programme de</w:t>
      </w:r>
      <w:r w:rsidR="009F7F86" w:rsidRPr="00D44BB9">
        <w:rPr>
          <w:i/>
        </w:rPr>
        <w:t xml:space="preserve"> protection des salariés</w:t>
      </w:r>
      <w:r w:rsidRPr="00D44BB9">
        <w:t>.</w:t>
      </w:r>
      <w:r w:rsidR="00FD3B8F" w:rsidRPr="00D44BB9">
        <w:t xml:space="preserve"> Rien dans la présente ordonnance n’annule les protections accordées au séquestre par l’article 14.06 de la </w:t>
      </w:r>
      <w:r w:rsidR="00FD3B8F" w:rsidRPr="00D44BB9">
        <w:rPr>
          <w:i/>
        </w:rPr>
        <w:t>Loi sur la faillite et l’insolvabilité</w:t>
      </w:r>
      <w:r w:rsidR="00FD3B8F" w:rsidRPr="00D44BB9">
        <w:t xml:space="preserve"> ou par toute autre loi applicable.</w:t>
      </w:r>
    </w:p>
    <w:p w:rsidR="00334EBD" w:rsidRPr="004C22D0" w:rsidRDefault="009F7F86" w:rsidP="00C17025">
      <w:pPr>
        <w:pStyle w:val="ORMainHeading"/>
        <w:widowControl/>
        <w:rPr>
          <w:rFonts w:ascii="Franklin Gothic Book" w:hAnsi="Franklin Gothic Book"/>
          <w:lang w:val="fr-CA"/>
        </w:rPr>
      </w:pPr>
      <w:bookmarkStart w:id="27" w:name="_DV_M81"/>
      <w:bookmarkEnd w:id="27"/>
      <w:r w:rsidRPr="00D44BB9">
        <w:rPr>
          <w:rFonts w:ascii="Franklin Gothic Book" w:hAnsi="Franklin Gothic Book"/>
          <w:lang w:val="fr-CA"/>
        </w:rPr>
        <w:t>COMPTES DU SÉQUESTRE</w:t>
      </w:r>
    </w:p>
    <w:p w:rsidR="008E78E5" w:rsidRPr="004C22D0" w:rsidRDefault="00887B31" w:rsidP="003760AF">
      <w:pPr>
        <w:pStyle w:val="ORGenL1"/>
      </w:pPr>
      <w:bookmarkStart w:id="28" w:name="_DV_M82"/>
      <w:bookmarkStart w:id="29" w:name="_DV_C6"/>
      <w:bookmarkEnd w:id="28"/>
      <w:r w:rsidRPr="00D44BB9">
        <w:t>Le séquestre et l</w:t>
      </w:r>
      <w:r w:rsidR="002166C1" w:rsidRPr="00D44BB9">
        <w:t xml:space="preserve">es </w:t>
      </w:r>
      <w:r w:rsidRPr="00D44BB9">
        <w:t>avocat</w:t>
      </w:r>
      <w:r w:rsidR="002166C1" w:rsidRPr="00D44BB9">
        <w:t>s</w:t>
      </w:r>
      <w:r w:rsidRPr="00D44BB9">
        <w:t xml:space="preserve"> du séquestre se font payer des honoraires et débours raisonnables, dans chaque cas </w:t>
      </w:r>
      <w:r w:rsidR="00632CB3" w:rsidRPr="00D44BB9">
        <w:t xml:space="preserve">selon </w:t>
      </w:r>
      <w:r w:rsidRPr="00D44BB9">
        <w:t>leurs tarifs et frais normaux, et le séquestre et l</w:t>
      </w:r>
      <w:r w:rsidR="002166C1" w:rsidRPr="00D44BB9">
        <w:t xml:space="preserve">es </w:t>
      </w:r>
      <w:r w:rsidRPr="00D44BB9">
        <w:t>avocat</w:t>
      </w:r>
      <w:r w:rsidR="002166C1" w:rsidRPr="00D44BB9">
        <w:t>s</w:t>
      </w:r>
      <w:r w:rsidRPr="00D44BB9">
        <w:t xml:space="preserve"> du séquestre ont </w:t>
      </w:r>
      <w:r w:rsidR="00E36404" w:rsidRPr="00D44BB9">
        <w:t>le droit de</w:t>
      </w:r>
      <w:r w:rsidRPr="00D44BB9">
        <w:t xml:space="preserve"> recevoir une charge d'un montant maxim</w:t>
      </w:r>
      <w:r w:rsidR="00FD3B8F" w:rsidRPr="00D44BB9">
        <w:t>al</w:t>
      </w:r>
      <w:r w:rsidRPr="00D44BB9">
        <w:t xml:space="preserve"> de </w:t>
      </w:r>
      <w:r w:rsidR="00334EBD" w:rsidRPr="00D44BB9">
        <w:t>_______________</w:t>
      </w:r>
      <w:r w:rsidRPr="00D44BB9">
        <w:t xml:space="preserve"> $ </w:t>
      </w:r>
      <w:r w:rsidR="00334EBD" w:rsidRPr="00D44BB9">
        <w:t>(</w:t>
      </w:r>
      <w:r w:rsidRPr="00D44BB9">
        <w:t>la « </w:t>
      </w:r>
      <w:r w:rsidRPr="00D44BB9">
        <w:rPr>
          <w:b/>
        </w:rPr>
        <w:t>charge administrative</w:t>
      </w:r>
      <w:r w:rsidRPr="00D44BB9">
        <w:t> »</w:t>
      </w:r>
      <w:r w:rsidR="00334EBD" w:rsidRPr="00D44BB9">
        <w:t>)</w:t>
      </w:r>
      <w:r w:rsidRPr="00D44BB9">
        <w:t xml:space="preserve"> grevée sur les biens, </w:t>
      </w:r>
      <w:r w:rsidR="00E36404" w:rsidRPr="00D44BB9">
        <w:t xml:space="preserve">autorisée par les présentes, </w:t>
      </w:r>
      <w:r w:rsidR="002166C1" w:rsidRPr="00D44BB9">
        <w:t>à titre de</w:t>
      </w:r>
      <w:r w:rsidRPr="00D44BB9">
        <w:t xml:space="preserve"> sûreté pour les honoraires et débours, avant et après </w:t>
      </w:r>
      <w:r w:rsidR="002166C1" w:rsidRPr="00D44BB9">
        <w:t xml:space="preserve">le prononcé de </w:t>
      </w:r>
      <w:r w:rsidRPr="00D44BB9">
        <w:t xml:space="preserve">la présente ordonnance en rapport avec ces procédures, et la charge administrative </w:t>
      </w:r>
      <w:r w:rsidR="00FD3B8F" w:rsidRPr="00D44BB9">
        <w:t xml:space="preserve">constitue </w:t>
      </w:r>
      <w:r w:rsidRPr="00D44BB9">
        <w:t xml:space="preserve">une </w:t>
      </w:r>
      <w:r w:rsidR="00FD3B8F" w:rsidRPr="00D44BB9">
        <w:t xml:space="preserve">première </w:t>
      </w:r>
      <w:r w:rsidRPr="00D44BB9">
        <w:t xml:space="preserve">charge sur les biens et </w:t>
      </w:r>
      <w:r w:rsidR="00FD3B8F" w:rsidRPr="00D44BB9">
        <w:t xml:space="preserve">elle </w:t>
      </w:r>
      <w:r w:rsidRPr="00D44BB9">
        <w:t xml:space="preserve">a priorité sur toutes les sûretés, fiducies, privilèges, charges et </w:t>
      </w:r>
      <w:proofErr w:type="spellStart"/>
      <w:r w:rsidRPr="00D44BB9">
        <w:t>grèvements</w:t>
      </w:r>
      <w:proofErr w:type="spellEnd"/>
      <w:r w:rsidRPr="00D44BB9">
        <w:t>, statutaires ou autres, en faveur de toute personne, mais sous réserve des paragraphes </w:t>
      </w:r>
      <w:r w:rsidR="00334EBD" w:rsidRPr="00D44BB9">
        <w:t>14.06(7),</w:t>
      </w:r>
      <w:r w:rsidRPr="00D44BB9">
        <w:t> </w:t>
      </w:r>
      <w:r w:rsidR="00334EBD" w:rsidRPr="00D44BB9">
        <w:t xml:space="preserve">81.4(4) </w:t>
      </w:r>
      <w:r w:rsidRPr="00D44BB9">
        <w:t>et </w:t>
      </w:r>
      <w:r w:rsidR="00334EBD" w:rsidRPr="00D44BB9">
        <w:t xml:space="preserve">81.6(2) </w:t>
      </w:r>
      <w:r w:rsidRPr="00D44BB9">
        <w:t xml:space="preserve">de la </w:t>
      </w:r>
      <w:r w:rsidRPr="00D44BB9">
        <w:rPr>
          <w:i/>
        </w:rPr>
        <w:t>Loi sur la faillite et l'insolvabilité</w:t>
      </w:r>
      <w:r w:rsidR="00334EBD" w:rsidRPr="00D44BB9">
        <w:t>.</w:t>
      </w:r>
      <w:r w:rsidR="00334EBD" w:rsidRPr="00D44BB9">
        <w:rPr>
          <w:rStyle w:val="FootnoteReference"/>
          <w:rFonts w:ascii="Franklin Gothic Book" w:hAnsi="Franklin Gothic Book"/>
          <w:lang w:val="fr-CA"/>
        </w:rPr>
        <w:footnoteReference w:id="5"/>
      </w:r>
      <w:bookmarkEnd w:id="29"/>
    </w:p>
    <w:p w:rsidR="00334EBD" w:rsidRPr="004C22D0" w:rsidRDefault="00887B31" w:rsidP="003760AF">
      <w:pPr>
        <w:pStyle w:val="ORGenL1"/>
      </w:pPr>
      <w:bookmarkStart w:id="30" w:name="_DV_M84"/>
      <w:bookmarkEnd w:id="30"/>
      <w:r w:rsidRPr="00D44BB9">
        <w:t>Le séquestre et s</w:t>
      </w:r>
      <w:r w:rsidR="00E36404" w:rsidRPr="00D44BB9">
        <w:t>es</w:t>
      </w:r>
      <w:r w:rsidRPr="00D44BB9">
        <w:t xml:space="preserve"> conseiller</w:t>
      </w:r>
      <w:r w:rsidR="00E36404" w:rsidRPr="00D44BB9">
        <w:t>s</w:t>
      </w:r>
      <w:r w:rsidRPr="00D44BB9">
        <w:t xml:space="preserve"> juridique</w:t>
      </w:r>
      <w:r w:rsidR="00E36404" w:rsidRPr="00D44BB9">
        <w:t>s</w:t>
      </w:r>
      <w:r w:rsidRPr="00D44BB9">
        <w:t xml:space="preserve"> doivent faire vérifier leurs comptes </w:t>
      </w:r>
      <w:r w:rsidR="002166C1" w:rsidRPr="00D44BB9">
        <w:t>périodiquement</w:t>
      </w:r>
      <w:r w:rsidRPr="00D44BB9">
        <w:t xml:space="preserve"> et, à cette fin, le</w:t>
      </w:r>
      <w:r w:rsidR="002166C1" w:rsidRPr="00D44BB9">
        <w:t>s comptes du séquestre et de ses</w:t>
      </w:r>
      <w:r w:rsidRPr="00D44BB9">
        <w:t xml:space="preserve"> conseiller</w:t>
      </w:r>
      <w:r w:rsidR="002166C1" w:rsidRPr="00D44BB9">
        <w:t>s</w:t>
      </w:r>
      <w:r w:rsidRPr="00D44BB9">
        <w:t xml:space="preserve"> juridique</w:t>
      </w:r>
      <w:r w:rsidR="002166C1" w:rsidRPr="00D44BB9">
        <w:t>s</w:t>
      </w:r>
      <w:r w:rsidRPr="00D44BB9">
        <w:t xml:space="preserve"> sont r</w:t>
      </w:r>
      <w:r w:rsidR="002166C1" w:rsidRPr="00D44BB9">
        <w:t>emis</w:t>
      </w:r>
      <w:r w:rsidRPr="00D44BB9">
        <w:t xml:space="preserve"> à un juge de la Cour du Banc de la Reine du Nouveau-Brunswick conformément aux </w:t>
      </w:r>
      <w:r w:rsidRPr="00D44BB9">
        <w:rPr>
          <w:i/>
        </w:rPr>
        <w:t>Règles</w:t>
      </w:r>
      <w:r w:rsidR="00334EBD" w:rsidRPr="00D44BB9">
        <w:t>.</w:t>
      </w:r>
    </w:p>
    <w:p w:rsidR="00334EBD" w:rsidRPr="004C22D0" w:rsidRDefault="00887B31" w:rsidP="003760AF">
      <w:pPr>
        <w:pStyle w:val="ORGenL1"/>
      </w:pPr>
      <w:bookmarkStart w:id="31" w:name="_DV_M85"/>
      <w:bookmarkEnd w:id="31"/>
      <w:r w:rsidRPr="00D44BB9">
        <w:t>Avant de faire vérifier ses comptes, le séquestre</w:t>
      </w:r>
      <w:r w:rsidR="002166C1" w:rsidRPr="00D44BB9">
        <w:t xml:space="preserve"> peut, si besoin est, utiliser</w:t>
      </w:r>
      <w:r w:rsidRPr="00D44BB9">
        <w:t xml:space="preserve"> des montants raisonnables</w:t>
      </w:r>
      <w:r w:rsidR="00FD3B8F" w:rsidRPr="00D44BB9">
        <w:t xml:space="preserve">, déduits </w:t>
      </w:r>
      <w:r w:rsidRPr="00D44BB9">
        <w:t>des sommes dont il dispose</w:t>
      </w:r>
      <w:r w:rsidR="00FD3B8F" w:rsidRPr="00D44BB9">
        <w:t>,</w:t>
      </w:r>
      <w:r w:rsidRPr="00D44BB9">
        <w:t xml:space="preserve"> pour payer ses honoraires, dépenses et débours, incluant les honoraires et débours </w:t>
      </w:r>
      <w:r w:rsidR="00FD3B8F" w:rsidRPr="00D44BB9">
        <w:t xml:space="preserve">judiciaires </w:t>
      </w:r>
      <w:r w:rsidR="002166C1" w:rsidRPr="00D44BB9">
        <w:t>engagés</w:t>
      </w:r>
      <w:r w:rsidR="00FD3B8F" w:rsidRPr="00D44BB9">
        <w:t xml:space="preserve"> </w:t>
      </w:r>
      <w:r w:rsidRPr="00D44BB9">
        <w:t>aux tarifs et frais normaux du séquestre ou de s</w:t>
      </w:r>
      <w:r w:rsidR="002166C1" w:rsidRPr="00D44BB9">
        <w:t>es</w:t>
      </w:r>
      <w:r w:rsidRPr="00D44BB9">
        <w:t xml:space="preserve"> avocat</w:t>
      </w:r>
      <w:r w:rsidR="002166C1" w:rsidRPr="00D44BB9">
        <w:t>s</w:t>
      </w:r>
      <w:r w:rsidRPr="00D44BB9">
        <w:t xml:space="preserve">, et de telles sommes constituent des avances à l'égard de la rémunération et des débours lorsqu'ils </w:t>
      </w:r>
      <w:r w:rsidR="00FD3B8F" w:rsidRPr="00D44BB9">
        <w:t>s</w:t>
      </w:r>
      <w:r w:rsidRPr="00D44BB9">
        <w:t>ont approuvés à l'avance, conformément au paragraphe précédent</w:t>
      </w:r>
      <w:r w:rsidR="00334EBD" w:rsidRPr="00D44BB9">
        <w:t>.</w:t>
      </w:r>
    </w:p>
    <w:p w:rsidR="00334EBD" w:rsidRPr="0059793D" w:rsidRDefault="00334EBD" w:rsidP="003760AF">
      <w:pPr>
        <w:pStyle w:val="ORGenL1"/>
        <w:numPr>
          <w:ilvl w:val="0"/>
          <w:numId w:val="0"/>
        </w:numPr>
        <w:ind w:left="840"/>
        <w:rPr>
          <w:b/>
        </w:rPr>
      </w:pPr>
      <w:r w:rsidRPr="0059793D">
        <w:rPr>
          <w:b/>
        </w:rPr>
        <w:t>CHARGE</w:t>
      </w:r>
      <w:r w:rsidR="0078249F" w:rsidRPr="0059793D">
        <w:rPr>
          <w:b/>
        </w:rPr>
        <w:t xml:space="preserve"> </w:t>
      </w:r>
      <w:r w:rsidR="002166C1" w:rsidRPr="0059793D">
        <w:rPr>
          <w:b/>
        </w:rPr>
        <w:t>D</w:t>
      </w:r>
      <w:r w:rsidR="0078249F" w:rsidRPr="0059793D">
        <w:rPr>
          <w:b/>
        </w:rPr>
        <w:t>’INDEMNISATION DU SÉQUESTRE</w:t>
      </w:r>
    </w:p>
    <w:p w:rsidR="00FD69CB" w:rsidRPr="004C22D0" w:rsidRDefault="0078249F" w:rsidP="003760AF">
      <w:pPr>
        <w:pStyle w:val="ORGenL1"/>
        <w:rPr>
          <w:rStyle w:val="DeltaViewInsertion"/>
          <w:color w:val="auto"/>
          <w:u w:val="none"/>
        </w:rPr>
      </w:pPr>
      <w:bookmarkStart w:id="32" w:name="_DV_M88"/>
      <w:bookmarkStart w:id="33" w:name="_DV_C13"/>
      <w:bookmarkEnd w:id="32"/>
      <w:r w:rsidRPr="00D44BB9">
        <w:t xml:space="preserve">Le </w:t>
      </w:r>
      <w:r w:rsidR="00A23609" w:rsidRPr="00D44BB9">
        <w:t>séquestre</w:t>
      </w:r>
      <w:r w:rsidRPr="00D44BB9">
        <w:t xml:space="preserve"> a le droit de recevoir une </w:t>
      </w:r>
      <w:r w:rsidR="00A23609" w:rsidRPr="00D44BB9">
        <w:t>charge</w:t>
      </w:r>
      <w:r w:rsidR="00334EBD" w:rsidRPr="00D44BB9">
        <w:t xml:space="preserve"> (</w:t>
      </w:r>
      <w:r w:rsidRPr="00D44BB9">
        <w:t>la</w:t>
      </w:r>
      <w:r w:rsidR="00334EBD" w:rsidRPr="00D44BB9">
        <w:t xml:space="preserve"> </w:t>
      </w:r>
      <w:r w:rsidRPr="00D44BB9">
        <w:rPr>
          <w:rStyle w:val="DeltaViewInsertion"/>
          <w:color w:val="auto"/>
          <w:u w:val="none"/>
        </w:rPr>
        <w:t>« </w:t>
      </w:r>
      <w:r w:rsidRPr="00D44BB9">
        <w:rPr>
          <w:rStyle w:val="DeltaViewInsertion"/>
          <w:b/>
          <w:bCs/>
          <w:color w:val="auto"/>
          <w:u w:val="none"/>
        </w:rPr>
        <w:t>charge d’indemnisation du séquestre</w:t>
      </w:r>
      <w:r w:rsidRPr="00D44BB9">
        <w:rPr>
          <w:rStyle w:val="DeltaViewInsertion"/>
          <w:color w:val="auto"/>
          <w:u w:val="none"/>
        </w:rPr>
        <w:t> »</w:t>
      </w:r>
      <w:r w:rsidR="00334EBD" w:rsidRPr="00D44BB9">
        <w:rPr>
          <w:rStyle w:val="DeltaViewInsertion"/>
          <w:color w:val="auto"/>
          <w:u w:val="none"/>
        </w:rPr>
        <w:t xml:space="preserve">) </w:t>
      </w:r>
      <w:r w:rsidRPr="00D44BB9">
        <w:rPr>
          <w:rStyle w:val="DeltaViewInsertion"/>
          <w:color w:val="auto"/>
          <w:u w:val="none"/>
        </w:rPr>
        <w:t>grevée sur tous les biens</w:t>
      </w:r>
      <w:r w:rsidR="00E36404" w:rsidRPr="00D44BB9">
        <w:rPr>
          <w:rStyle w:val="DeltaViewInsertion"/>
          <w:color w:val="auto"/>
          <w:u w:val="none"/>
        </w:rPr>
        <w:t xml:space="preserve">, </w:t>
      </w:r>
      <w:r w:rsidR="00E36404" w:rsidRPr="00D44BB9">
        <w:t>et autorisée par les présentes,</w:t>
      </w:r>
      <w:r w:rsidRPr="00D44BB9">
        <w:rPr>
          <w:rStyle w:val="DeltaViewInsertion"/>
          <w:color w:val="auto"/>
          <w:u w:val="none"/>
        </w:rPr>
        <w:t xml:space="preserve"> </w:t>
      </w:r>
      <w:r w:rsidR="00CE6A4A" w:rsidRPr="00D44BB9">
        <w:rPr>
          <w:rStyle w:val="DeltaViewInsertion"/>
          <w:color w:val="auto"/>
          <w:u w:val="none"/>
        </w:rPr>
        <w:t xml:space="preserve">à titre de </w:t>
      </w:r>
      <w:r w:rsidR="00A23609" w:rsidRPr="00D44BB9">
        <w:rPr>
          <w:rStyle w:val="DeltaViewInsertion"/>
          <w:color w:val="auto"/>
          <w:u w:val="none"/>
        </w:rPr>
        <w:t>sûreté</w:t>
      </w:r>
      <w:r w:rsidRPr="00D44BB9">
        <w:rPr>
          <w:rStyle w:val="DeltaViewInsertion"/>
          <w:color w:val="auto"/>
          <w:u w:val="none"/>
        </w:rPr>
        <w:t xml:space="preserve"> pour toutes les </w:t>
      </w:r>
      <w:r w:rsidR="00A23609" w:rsidRPr="00D44BB9">
        <w:rPr>
          <w:rStyle w:val="DeltaViewInsertion"/>
          <w:color w:val="auto"/>
          <w:u w:val="none"/>
        </w:rPr>
        <w:t>obligations</w:t>
      </w:r>
      <w:r w:rsidRPr="00D44BB9">
        <w:rPr>
          <w:rStyle w:val="DeltaViewInsertion"/>
          <w:color w:val="auto"/>
          <w:u w:val="none"/>
        </w:rPr>
        <w:t xml:space="preserve"> </w:t>
      </w:r>
      <w:r w:rsidR="00CE758F" w:rsidRPr="00D44BB9">
        <w:rPr>
          <w:rStyle w:val="DeltaViewInsertion"/>
          <w:color w:val="auto"/>
          <w:u w:val="none"/>
        </w:rPr>
        <w:t>contractées</w:t>
      </w:r>
      <w:r w:rsidRPr="00D44BB9">
        <w:rPr>
          <w:rStyle w:val="DeltaViewInsertion"/>
          <w:color w:val="auto"/>
          <w:u w:val="none"/>
        </w:rPr>
        <w:t xml:space="preserve"> par le séquestre, incluant les obligations </w:t>
      </w:r>
      <w:r w:rsidR="00CE6A4A" w:rsidRPr="00D44BB9">
        <w:rPr>
          <w:rStyle w:val="DeltaViewInsertion"/>
          <w:color w:val="auto"/>
          <w:u w:val="none"/>
        </w:rPr>
        <w:t xml:space="preserve">en conséquence </w:t>
      </w:r>
      <w:r w:rsidRPr="00D44BB9">
        <w:rPr>
          <w:rStyle w:val="DeltaViewInsertion"/>
          <w:color w:val="auto"/>
          <w:u w:val="none"/>
        </w:rPr>
        <w:t xml:space="preserve">de l’exécution de ses tâches et </w:t>
      </w:r>
      <w:r w:rsidR="00CE6A4A" w:rsidRPr="00D44BB9">
        <w:rPr>
          <w:rStyle w:val="DeltaViewInsertion"/>
          <w:color w:val="auto"/>
          <w:u w:val="none"/>
        </w:rPr>
        <w:t xml:space="preserve">de ses </w:t>
      </w:r>
      <w:r w:rsidRPr="00D44BB9">
        <w:rPr>
          <w:rStyle w:val="DeltaViewInsertion"/>
          <w:color w:val="auto"/>
          <w:u w:val="none"/>
        </w:rPr>
        <w:t xml:space="preserve">fonctions </w:t>
      </w:r>
      <w:r w:rsidR="00CE6A4A" w:rsidRPr="00D44BB9">
        <w:rPr>
          <w:rStyle w:val="DeltaViewInsertion"/>
          <w:color w:val="auto"/>
          <w:u w:val="none"/>
        </w:rPr>
        <w:t xml:space="preserve">prévues dans </w:t>
      </w:r>
      <w:r w:rsidRPr="00D44BB9">
        <w:rPr>
          <w:rStyle w:val="DeltaViewInsertion"/>
          <w:color w:val="auto"/>
          <w:u w:val="none"/>
        </w:rPr>
        <w:t xml:space="preserve">la présente ordonnance </w:t>
      </w:r>
      <w:r w:rsidR="00CE758F" w:rsidRPr="00D44BB9">
        <w:rPr>
          <w:rStyle w:val="DeltaViewInsertion"/>
          <w:color w:val="auto"/>
          <w:u w:val="none"/>
        </w:rPr>
        <w:t xml:space="preserve">ou liées à ses tâches et fonctions </w:t>
      </w:r>
      <w:r w:rsidR="00334EBD" w:rsidRPr="00D44BB9">
        <w:rPr>
          <w:rStyle w:val="DeltaViewInsertion"/>
          <w:color w:val="auto"/>
          <w:u w:val="none"/>
        </w:rPr>
        <w:t>[</w:t>
      </w:r>
      <w:r w:rsidR="00CE758F" w:rsidRPr="00D44BB9">
        <w:rPr>
          <w:rStyle w:val="DeltaViewInsertion"/>
          <w:color w:val="auto"/>
          <w:u w:val="none"/>
        </w:rPr>
        <w:t xml:space="preserve">notamment </w:t>
      </w:r>
      <w:r w:rsidRPr="00D44BB9">
        <w:rPr>
          <w:rStyle w:val="DeltaViewInsertion"/>
          <w:color w:val="auto"/>
          <w:u w:val="none"/>
        </w:rPr>
        <w:t>la gestion, l’exploitation et l’exécution d’une partie ou de toutes les a</w:t>
      </w:r>
      <w:r w:rsidR="00CE6A4A" w:rsidRPr="00D44BB9">
        <w:rPr>
          <w:rStyle w:val="DeltaViewInsertion"/>
          <w:color w:val="auto"/>
          <w:u w:val="none"/>
        </w:rPr>
        <w:t>ffaires</w:t>
      </w:r>
      <w:r w:rsidRPr="00D44BB9">
        <w:rPr>
          <w:rStyle w:val="DeltaViewInsertion"/>
          <w:color w:val="auto"/>
          <w:u w:val="none"/>
        </w:rPr>
        <w:t xml:space="preserve"> de l’un des intimés</w:t>
      </w:r>
      <w:r w:rsidR="00334EBD" w:rsidRPr="00D44BB9">
        <w:rPr>
          <w:rStyle w:val="DeltaViewInsertion"/>
          <w:color w:val="auto"/>
          <w:u w:val="none"/>
        </w:rPr>
        <w:t>]</w:t>
      </w:r>
      <w:r w:rsidR="00334EBD" w:rsidRPr="00D44BB9">
        <w:rPr>
          <w:rStyle w:val="FootnoteReference"/>
          <w:lang w:val="fr-CA"/>
        </w:rPr>
        <w:footnoteReference w:id="6"/>
      </w:r>
      <w:r w:rsidR="00334EBD" w:rsidRPr="00D44BB9">
        <w:rPr>
          <w:rStyle w:val="DeltaViewInsertion"/>
          <w:color w:val="auto"/>
          <w:u w:val="none"/>
        </w:rPr>
        <w:t xml:space="preserve">, </w:t>
      </w:r>
      <w:r w:rsidRPr="00D44BB9">
        <w:rPr>
          <w:rStyle w:val="DeltaViewInsertion"/>
          <w:color w:val="auto"/>
          <w:u w:val="none"/>
        </w:rPr>
        <w:t xml:space="preserve">la </w:t>
      </w:r>
      <w:r w:rsidRPr="00D44BB9">
        <w:rPr>
          <w:rStyle w:val="DeltaViewInsertion"/>
          <w:i/>
          <w:color w:val="auto"/>
          <w:u w:val="none"/>
        </w:rPr>
        <w:t>Loi sur la faillite et l’insolvabilité</w:t>
      </w:r>
      <w:r w:rsidRPr="00D44BB9">
        <w:rPr>
          <w:rStyle w:val="DeltaViewInsertion"/>
          <w:color w:val="auto"/>
          <w:u w:val="none"/>
        </w:rPr>
        <w:t xml:space="preserve"> ou une autre loi, à l’exception uniquement du passif découlant de la négligence ou d’une inconduite du séquestre donnant ouverture à </w:t>
      </w:r>
      <w:r w:rsidR="00CE6A4A" w:rsidRPr="00D44BB9">
        <w:rPr>
          <w:rStyle w:val="DeltaViewInsertion"/>
          <w:color w:val="auto"/>
          <w:u w:val="none"/>
        </w:rPr>
        <w:t>un recours</w:t>
      </w:r>
      <w:r w:rsidR="00334EBD" w:rsidRPr="00D44BB9">
        <w:rPr>
          <w:rStyle w:val="DeltaViewInsertion"/>
          <w:color w:val="auto"/>
          <w:u w:val="none"/>
        </w:rPr>
        <w:t>.</w:t>
      </w:r>
    </w:p>
    <w:p w:rsidR="00334EBD" w:rsidRPr="004C22D0" w:rsidRDefault="0078249F" w:rsidP="003760AF">
      <w:pPr>
        <w:pStyle w:val="ORGenL1"/>
      </w:pPr>
      <w:bookmarkStart w:id="34" w:name="_DV_M92"/>
      <w:bookmarkEnd w:id="33"/>
      <w:bookmarkEnd w:id="34"/>
      <w:r w:rsidRPr="00D44BB9">
        <w:t xml:space="preserve">La charge d'indemnisation du séquestre constitue une deuxième charge grevée sur les biens et </w:t>
      </w:r>
      <w:r w:rsidR="00CE758F" w:rsidRPr="00D44BB9">
        <w:t xml:space="preserve">elle </w:t>
      </w:r>
      <w:r w:rsidRPr="00D44BB9">
        <w:t>a priorité sur les s</w:t>
      </w:r>
      <w:r w:rsidR="00CE758F" w:rsidRPr="00D44BB9">
        <w:t>ûretés</w:t>
      </w:r>
      <w:r w:rsidRPr="00D44BB9">
        <w:t xml:space="preserve">, fiducies, privilèges, charges et </w:t>
      </w:r>
      <w:proofErr w:type="spellStart"/>
      <w:r w:rsidRPr="00D44BB9">
        <w:t>grèvements</w:t>
      </w:r>
      <w:proofErr w:type="spellEnd"/>
      <w:r w:rsidRPr="00D44BB9">
        <w:t>, statutaires ou autres, en faveur de toute personne, sous réserve des paragraphes </w:t>
      </w:r>
      <w:r w:rsidR="00334EBD" w:rsidRPr="00D44BB9">
        <w:t>14.06(7),</w:t>
      </w:r>
      <w:r w:rsidRPr="00D44BB9">
        <w:t> </w:t>
      </w:r>
      <w:r w:rsidR="00334EBD" w:rsidRPr="00D44BB9">
        <w:t>81.4(4)</w:t>
      </w:r>
      <w:r w:rsidRPr="00D44BB9">
        <w:t xml:space="preserve"> et </w:t>
      </w:r>
      <w:r w:rsidR="00334EBD" w:rsidRPr="00D44BB9">
        <w:t>81.6(2)</w:t>
      </w:r>
      <w:r w:rsidRPr="00D44BB9">
        <w:t xml:space="preserve"> de la </w:t>
      </w:r>
      <w:r w:rsidRPr="00D44BB9">
        <w:rPr>
          <w:i/>
        </w:rPr>
        <w:t>Loi sur la faillite et l'insolvabilité</w:t>
      </w:r>
      <w:r w:rsidRPr="00D44BB9">
        <w:t xml:space="preserve">, </w:t>
      </w:r>
      <w:r w:rsidR="00CE6A4A" w:rsidRPr="00D44BB9">
        <w:t>mais elle n’a pas priorité sur</w:t>
      </w:r>
      <w:r w:rsidR="00CE758F" w:rsidRPr="00D44BB9">
        <w:t xml:space="preserve"> </w:t>
      </w:r>
      <w:r w:rsidRPr="00D44BB9">
        <w:t>la charge administrative</w:t>
      </w:r>
      <w:r w:rsidR="00334EBD" w:rsidRPr="00D44BB9">
        <w:t>.</w:t>
      </w:r>
    </w:p>
    <w:p w:rsidR="00334EBD" w:rsidRPr="000568F4" w:rsidRDefault="0078249F" w:rsidP="003760AF">
      <w:pPr>
        <w:pStyle w:val="ORGenL1"/>
        <w:numPr>
          <w:ilvl w:val="0"/>
          <w:numId w:val="0"/>
        </w:numPr>
        <w:ind w:left="840"/>
        <w:rPr>
          <w:b/>
          <w:highlight w:val="red"/>
        </w:rPr>
      </w:pPr>
      <w:r w:rsidRPr="000568F4">
        <w:rPr>
          <w:b/>
        </w:rPr>
        <w:t>RÉPARTITION DES COÛTS</w:t>
      </w:r>
    </w:p>
    <w:p w:rsidR="00334EBD" w:rsidRPr="004C22D0" w:rsidRDefault="0078249F" w:rsidP="003760AF">
      <w:pPr>
        <w:pStyle w:val="ORGenL1"/>
      </w:pPr>
      <w:bookmarkStart w:id="35" w:name="_DV_M94"/>
      <w:bookmarkStart w:id="36" w:name="_DV_M96"/>
      <w:bookmarkEnd w:id="35"/>
      <w:bookmarkEnd w:id="36"/>
      <w:r w:rsidRPr="00D44BB9">
        <w:t xml:space="preserve">Le séquestre doit déposer au tribunal </w:t>
      </w:r>
      <w:r w:rsidR="00943063" w:rsidRPr="00D44BB9">
        <w:t>aux</w:t>
      </w:r>
      <w:r w:rsidRPr="00D44BB9">
        <w:t xml:space="preserve"> fins d'approbation un rapport établissant </w:t>
      </w:r>
      <w:r w:rsidR="005E1F7C" w:rsidRPr="00D44BB9">
        <w:t>s</w:t>
      </w:r>
      <w:r w:rsidRPr="00D44BB9">
        <w:t xml:space="preserve">es coûts, honoraires, dépenses et passifs donnant lieu à la charge administrative, la charge d'indemnisation du séquestre et la charge </w:t>
      </w:r>
      <w:r w:rsidR="00CE6A4A" w:rsidRPr="00D44BB9">
        <w:t xml:space="preserve">des </w:t>
      </w:r>
      <w:r w:rsidRPr="00D44BB9">
        <w:t>emprunt</w:t>
      </w:r>
      <w:r w:rsidR="00CE6A4A" w:rsidRPr="00D44BB9">
        <w:t>s</w:t>
      </w:r>
      <w:r w:rsidRPr="00D44BB9">
        <w:t xml:space="preserve"> du séquestre (définie ci-dessous) et, sauf si le tribunal l'ordonne autrement, tous les coûts, honoraires, dépenses et passifs </w:t>
      </w:r>
      <w:r w:rsidR="00CE758F" w:rsidRPr="00D44BB9">
        <w:t>s</w:t>
      </w:r>
      <w:r w:rsidRPr="00D44BB9">
        <w:t>eront payés de la manière suivante</w:t>
      </w:r>
      <w:r w:rsidR="00164B36" w:rsidRPr="00D44BB9">
        <w:t> :</w:t>
      </w:r>
    </w:p>
    <w:p w:rsidR="00334EBD" w:rsidRPr="004C22D0" w:rsidRDefault="0078249F" w:rsidP="00DC50A8">
      <w:pPr>
        <w:pStyle w:val="ORGenL1"/>
        <w:numPr>
          <w:ilvl w:val="0"/>
          <w:numId w:val="20"/>
        </w:numPr>
      </w:pPr>
      <w:bookmarkStart w:id="37" w:name="_DV_M97"/>
      <w:bookmarkEnd w:id="37"/>
      <w:r w:rsidRPr="00D44BB9">
        <w:t xml:space="preserve">Premièrement, </w:t>
      </w:r>
      <w:r w:rsidR="005E1F7C" w:rsidRPr="00D44BB9">
        <w:t xml:space="preserve">en </w:t>
      </w:r>
      <w:r w:rsidRPr="00D44BB9">
        <w:t>appliqu</w:t>
      </w:r>
      <w:r w:rsidR="005E1F7C" w:rsidRPr="00D44BB9">
        <w:t>ant</w:t>
      </w:r>
      <w:r w:rsidRPr="00D44BB9">
        <w:t xml:space="preserve"> les coûts engagés dans les procédures de mise sous séquestre attribuables précisément à un actif individuel ou à un groupe d'actifs </w:t>
      </w:r>
      <w:r w:rsidR="00CE6A4A" w:rsidRPr="00D44BB9">
        <w:t>à</w:t>
      </w:r>
      <w:r w:rsidRPr="00D44BB9">
        <w:t xml:space="preserve"> la réalisation de cet actif ou de ce groupe d'actifs</w:t>
      </w:r>
      <w:r w:rsidR="00164B36" w:rsidRPr="00D44BB9">
        <w:t>;</w:t>
      </w:r>
    </w:p>
    <w:p w:rsidR="00334EBD" w:rsidRPr="004C22D0" w:rsidRDefault="0078249F" w:rsidP="00DC50A8">
      <w:pPr>
        <w:pStyle w:val="ORGenL1"/>
        <w:numPr>
          <w:ilvl w:val="0"/>
          <w:numId w:val="20"/>
        </w:numPr>
      </w:pPr>
      <w:r w:rsidRPr="00D44BB9">
        <w:t xml:space="preserve">Deuxièmement, </w:t>
      </w:r>
      <w:r w:rsidR="005E1F7C" w:rsidRPr="00D44BB9">
        <w:t>en appliquant</w:t>
      </w:r>
      <w:r w:rsidRPr="00D44BB9">
        <w:t xml:space="preserve"> les coûts au prorata de tous les actifs </w:t>
      </w:r>
      <w:r w:rsidR="005E1F7C" w:rsidRPr="00D44BB9">
        <w:t xml:space="preserve">à </w:t>
      </w:r>
      <w:r w:rsidRPr="00D44BB9">
        <w:t>la réalisation nette d</w:t>
      </w:r>
      <w:r w:rsidR="00CE758F" w:rsidRPr="00D44BB9">
        <w:t>’un</w:t>
      </w:r>
      <w:r w:rsidRPr="00D44BB9">
        <w:t xml:space="preserve"> actif ou groupe </w:t>
      </w:r>
      <w:r w:rsidR="00CE758F" w:rsidRPr="00D44BB9">
        <w:t>d’</w:t>
      </w:r>
      <w:r w:rsidRPr="00D44BB9">
        <w:t>actifs</w:t>
      </w:r>
      <w:r w:rsidR="00164B36" w:rsidRPr="00D44BB9">
        <w:t>;</w:t>
      </w:r>
      <w:r w:rsidRPr="00D44BB9">
        <w:t xml:space="preserve"> </w:t>
      </w:r>
    </w:p>
    <w:p w:rsidR="00334EBD" w:rsidRPr="004C22D0" w:rsidRDefault="0078249F" w:rsidP="00DC50A8">
      <w:pPr>
        <w:pStyle w:val="ORGenL1"/>
        <w:numPr>
          <w:ilvl w:val="0"/>
          <w:numId w:val="20"/>
        </w:numPr>
      </w:pPr>
      <w:bookmarkStart w:id="38" w:name="_DV_M98"/>
      <w:bookmarkEnd w:id="38"/>
      <w:r w:rsidRPr="00D44BB9">
        <w:t xml:space="preserve">Troisièmement, </w:t>
      </w:r>
      <w:r w:rsidR="005E1F7C" w:rsidRPr="00D44BB9">
        <w:t xml:space="preserve">en </w:t>
      </w:r>
      <w:r w:rsidRPr="00D44BB9">
        <w:t>appliqu</w:t>
      </w:r>
      <w:r w:rsidR="005E1F7C" w:rsidRPr="00D44BB9">
        <w:t>ant</w:t>
      </w:r>
      <w:r w:rsidRPr="00D44BB9">
        <w:t xml:space="preserve"> les coûts non spécifiques engagés dans les procédures de mise sous séquestre au prorata </w:t>
      </w:r>
      <w:r w:rsidR="00CE6A4A" w:rsidRPr="00D44BB9">
        <w:t>à</w:t>
      </w:r>
      <w:r w:rsidRPr="00D44BB9">
        <w:t xml:space="preserve"> tous les actifs </w:t>
      </w:r>
      <w:r w:rsidR="00CE758F" w:rsidRPr="00D44BB9">
        <w:t xml:space="preserve">à partir de </w:t>
      </w:r>
      <w:r w:rsidRPr="00D44BB9">
        <w:t>la réalisation nette de chaque actif ou groupe d'actifs</w:t>
      </w:r>
      <w:r w:rsidR="00334EBD" w:rsidRPr="00D44BB9">
        <w:t>.</w:t>
      </w:r>
    </w:p>
    <w:p w:rsidR="00334EBD" w:rsidRPr="000568F4" w:rsidRDefault="00334EBD" w:rsidP="000568F4">
      <w:pPr>
        <w:pStyle w:val="ORGenL2"/>
      </w:pPr>
      <w:r w:rsidRPr="000568F4">
        <w:t>F</w:t>
      </w:r>
      <w:r w:rsidR="008D4CB5" w:rsidRPr="000568F4">
        <w:t>INANCEMENT DE LA MISE SOUS SÉQUESTRE</w:t>
      </w:r>
    </w:p>
    <w:p w:rsidR="00334EBD" w:rsidRPr="00927992" w:rsidRDefault="00CE6A4A" w:rsidP="003760AF">
      <w:pPr>
        <w:pStyle w:val="ORGenL1"/>
      </w:pPr>
      <w:bookmarkStart w:id="39" w:name="_DV_M99"/>
      <w:bookmarkStart w:id="40" w:name="_DV_M100"/>
      <w:bookmarkEnd w:id="39"/>
      <w:bookmarkEnd w:id="40"/>
      <w:r w:rsidRPr="00927992">
        <w:t>L</w:t>
      </w:r>
      <w:r w:rsidR="008D4CB5" w:rsidRPr="00927992">
        <w:t xml:space="preserve">e séquestre </w:t>
      </w:r>
      <w:r w:rsidRPr="00927992">
        <w:t xml:space="preserve">peut </w:t>
      </w:r>
      <w:r w:rsidR="008D4CB5" w:rsidRPr="00927992">
        <w:t>emprunter au moyen d'un crédit renouvelable ou autrement des sommes qu'il considère</w:t>
      </w:r>
      <w:r w:rsidR="004C103A" w:rsidRPr="00927992">
        <w:t>, selon les besoins,</w:t>
      </w:r>
      <w:r w:rsidR="008D4CB5" w:rsidRPr="00927992">
        <w:t xml:space="preserve"> nécessaires ou souhaitables et il est autorisé par les présentes à le faire, à la condition que le montant du capital impayé ne dépasse pas, en tout temps,</w:t>
      </w:r>
      <w:r w:rsidR="00334EBD" w:rsidRPr="00927992">
        <w:t xml:space="preserve"> ______________________</w:t>
      </w:r>
      <w:r w:rsidR="008D4CB5" w:rsidRPr="00927992">
        <w:t> $</w:t>
      </w:r>
      <w:r w:rsidR="00334EBD" w:rsidRPr="00927992">
        <w:t xml:space="preserve"> (</w:t>
      </w:r>
      <w:r w:rsidR="008D4CB5" w:rsidRPr="00927992">
        <w:t xml:space="preserve">ou un montant plus élevé que le tribunal peut autoriser </w:t>
      </w:r>
      <w:r w:rsidRPr="00927992">
        <w:t xml:space="preserve">en rendant </w:t>
      </w:r>
      <w:r w:rsidR="008D4CB5" w:rsidRPr="00927992">
        <w:t xml:space="preserve">une </w:t>
      </w:r>
      <w:r w:rsidR="00F40F9A" w:rsidRPr="00927992">
        <w:t xml:space="preserve">autre </w:t>
      </w:r>
      <w:r w:rsidR="008D4CB5" w:rsidRPr="00927992">
        <w:t>ordonnance)</w:t>
      </w:r>
      <w:r w:rsidR="004C103A" w:rsidRPr="00927992">
        <w:t>,</w:t>
      </w:r>
      <w:r w:rsidR="008D4CB5" w:rsidRPr="00927992">
        <w:t xml:space="preserve"> à un ou des taux d'intérêt qu'il juge appropriés pour une période ou des périodes, selon les arrangements possibles, aux fins de verser les paiements (incluant des paiements provisoires) exigés ou autorisés par la présente ordonnance (incluant, sans s'y limiter, le paiement des sommes garanties par la charge administrative et la charge d'indemnisation du séquestre)</w:t>
      </w:r>
      <w:r w:rsidR="00334EBD" w:rsidRPr="00927992">
        <w:t>.</w:t>
      </w:r>
      <w:r w:rsidR="004C103A" w:rsidRPr="00927992">
        <w:rPr>
          <w:rStyle w:val="tw4winMark"/>
          <w:vanish w:val="0"/>
          <w:color w:val="auto"/>
        </w:rPr>
        <w:t xml:space="preserve"> </w:t>
      </w:r>
      <w:r w:rsidR="008D4CB5" w:rsidRPr="00927992">
        <w:t>L'ens</w:t>
      </w:r>
      <w:r w:rsidR="004C103A" w:rsidRPr="00927992">
        <w:t>emble des biens doit être grevé</w:t>
      </w:r>
      <w:r w:rsidR="008D4CB5" w:rsidRPr="00927992">
        <w:t>, et il l’est par les présentes, au moyen d’une charge fixée et précise (la « </w:t>
      </w:r>
      <w:r w:rsidR="008D4CB5" w:rsidRPr="00927992">
        <w:rPr>
          <w:b/>
        </w:rPr>
        <w:t>charge de</w:t>
      </w:r>
      <w:r w:rsidRPr="00927992">
        <w:rPr>
          <w:b/>
        </w:rPr>
        <w:t>s</w:t>
      </w:r>
      <w:r w:rsidR="008D4CB5" w:rsidRPr="00927992">
        <w:rPr>
          <w:b/>
        </w:rPr>
        <w:t xml:space="preserve"> emprunt</w:t>
      </w:r>
      <w:r w:rsidRPr="00927992">
        <w:rPr>
          <w:b/>
        </w:rPr>
        <w:t>s</w:t>
      </w:r>
      <w:r w:rsidR="008D4CB5" w:rsidRPr="00927992">
        <w:rPr>
          <w:b/>
        </w:rPr>
        <w:t xml:space="preserve"> du séquestre</w:t>
      </w:r>
      <w:r w:rsidR="008D4CB5" w:rsidRPr="00927992">
        <w:t xml:space="preserve"> ») qui agit </w:t>
      </w:r>
      <w:r w:rsidRPr="00927992">
        <w:t xml:space="preserve">à titre de </w:t>
      </w:r>
      <w:r w:rsidR="008D4CB5" w:rsidRPr="00927992">
        <w:t xml:space="preserve">sûreté pour le paiement des sommes empruntées, incluant les intérêts et les charges connexes, en priorité sur toutes les sûretés, fiducies, privilèges, charges et </w:t>
      </w:r>
      <w:proofErr w:type="spellStart"/>
      <w:r w:rsidR="008D4CB5" w:rsidRPr="00927992">
        <w:t>grèvements</w:t>
      </w:r>
      <w:proofErr w:type="spellEnd"/>
      <w:r w:rsidR="008D4CB5" w:rsidRPr="00927992">
        <w:t xml:space="preserve">, statutaires ou autres, en faveur de toute personne, mais ayant une priorité inférieure à la charge d'indemnisation du séquestre, à la charge administrative et aux charges </w:t>
      </w:r>
      <w:r w:rsidR="004C103A" w:rsidRPr="00927992">
        <w:t>prévues aux</w:t>
      </w:r>
      <w:r w:rsidR="008D4CB5" w:rsidRPr="00927992">
        <w:t xml:space="preserve"> paragraphes </w:t>
      </w:r>
      <w:r w:rsidR="00334EBD" w:rsidRPr="00927992">
        <w:t>14.06(7),</w:t>
      </w:r>
      <w:r w:rsidR="008D4CB5" w:rsidRPr="00927992">
        <w:t> </w:t>
      </w:r>
      <w:r w:rsidR="00334EBD" w:rsidRPr="00927992">
        <w:t>81.4(4)</w:t>
      </w:r>
      <w:r w:rsidR="008D4CB5" w:rsidRPr="00927992">
        <w:t xml:space="preserve"> et </w:t>
      </w:r>
      <w:r w:rsidR="00334EBD" w:rsidRPr="00927992">
        <w:t>81.6(2)</w:t>
      </w:r>
      <w:r w:rsidR="008D4CB5" w:rsidRPr="00927992">
        <w:t xml:space="preserve"> de la </w:t>
      </w:r>
      <w:r w:rsidR="008D4CB5" w:rsidRPr="00927992">
        <w:rPr>
          <w:i/>
        </w:rPr>
        <w:t>Loi sur la faillite et l'insolvabilité</w:t>
      </w:r>
      <w:r w:rsidR="00334EBD" w:rsidRPr="00927992">
        <w:t>.</w:t>
      </w:r>
    </w:p>
    <w:p w:rsidR="00334EBD" w:rsidRPr="004C22D0" w:rsidRDefault="008D4CB5" w:rsidP="003760AF">
      <w:pPr>
        <w:pStyle w:val="ORGenL1"/>
      </w:pPr>
      <w:bookmarkStart w:id="41" w:name="_DV_M103"/>
      <w:bookmarkEnd w:id="41"/>
      <w:r w:rsidRPr="00D44BB9">
        <w:t>Ni la charge de</w:t>
      </w:r>
      <w:r w:rsidR="00CE6A4A" w:rsidRPr="00D44BB9">
        <w:t>s</w:t>
      </w:r>
      <w:r w:rsidRPr="00D44BB9">
        <w:t xml:space="preserve"> emprunt</w:t>
      </w:r>
      <w:r w:rsidR="00CE6A4A" w:rsidRPr="00D44BB9">
        <w:t>s</w:t>
      </w:r>
      <w:r w:rsidRPr="00D44BB9">
        <w:t xml:space="preserve"> du séquestre ni aucune autre sûreté accordée p</w:t>
      </w:r>
      <w:r w:rsidR="00943063" w:rsidRPr="00D44BB9">
        <w:t xml:space="preserve">ar le séquestre relatives aux </w:t>
      </w:r>
      <w:r w:rsidRPr="00D44BB9">
        <w:t>emprunts en vertu de la présente ordonnance ne peu</w:t>
      </w:r>
      <w:r w:rsidR="004C103A" w:rsidRPr="00D44BB9">
        <w:t>ven</w:t>
      </w:r>
      <w:r w:rsidRPr="00D44BB9">
        <w:t>t être appliquée</w:t>
      </w:r>
      <w:r w:rsidR="004C103A" w:rsidRPr="00D44BB9">
        <w:t>s</w:t>
      </w:r>
      <w:r w:rsidRPr="00D44BB9">
        <w:t xml:space="preserve"> sans l'autorisation du tribunal </w:t>
      </w:r>
      <w:r w:rsidR="004C103A" w:rsidRPr="00D44BB9">
        <w:t xml:space="preserve">avec </w:t>
      </w:r>
      <w:r w:rsidRPr="00D44BB9">
        <w:t>un avis de sept</w:t>
      </w:r>
      <w:r w:rsidR="008D0F9A" w:rsidRPr="00D44BB9">
        <w:t> </w:t>
      </w:r>
      <w:r w:rsidRPr="00D44BB9">
        <w:t>jours au séquestre et au requérant</w:t>
      </w:r>
      <w:r w:rsidR="00334EBD" w:rsidRPr="00D44BB9">
        <w:t>.</w:t>
      </w:r>
    </w:p>
    <w:p w:rsidR="00334EBD" w:rsidRPr="004C22D0" w:rsidRDefault="008D4CB5" w:rsidP="003760AF">
      <w:pPr>
        <w:pStyle w:val="ORGenL1"/>
      </w:pPr>
      <w:bookmarkStart w:id="42" w:name="_DV_M105"/>
      <w:bookmarkEnd w:id="42"/>
      <w:r w:rsidRPr="00D44BB9">
        <w:t>Le séquestre est autorisé à émettre des certificats essentiellement sous la forme indiquée à l'annexe « A » du présent document (les « certificats du séquestre ») pour toutes les sommes empruntées en vertu de la présente ordonnance</w:t>
      </w:r>
      <w:r w:rsidR="00334EBD" w:rsidRPr="00D44BB9">
        <w:t>.</w:t>
      </w:r>
    </w:p>
    <w:p w:rsidR="00334EBD" w:rsidRPr="00927992" w:rsidRDefault="008D4CB5" w:rsidP="003760AF">
      <w:pPr>
        <w:pStyle w:val="ORGenL1"/>
      </w:pPr>
      <w:bookmarkStart w:id="43" w:name="_DV_M106"/>
      <w:bookmarkEnd w:id="43"/>
      <w:r w:rsidRPr="00927992">
        <w:t xml:space="preserve">Le cas échéant, les sommes empruntées par le séquestre en vertu de la présente ordonnance ou d'une </w:t>
      </w:r>
      <w:r w:rsidR="00F40F9A" w:rsidRPr="00927992">
        <w:t xml:space="preserve">autre </w:t>
      </w:r>
      <w:r w:rsidRPr="00927992">
        <w:t xml:space="preserve">ordonnance </w:t>
      </w:r>
      <w:r w:rsidR="00F40F9A" w:rsidRPr="00927992">
        <w:t xml:space="preserve">rendue par le </w:t>
      </w:r>
      <w:r w:rsidRPr="00927992">
        <w:t>tribunal et tous les certificats du séquestre qui prouvent ces emprunts</w:t>
      </w:r>
      <w:r w:rsidR="00CE6A4A" w:rsidRPr="00927992">
        <w:t xml:space="preserve"> ou une partie de ces emprunts</w:t>
      </w:r>
      <w:r w:rsidRPr="00927992">
        <w:t xml:space="preserve"> ont la même priorité, à moins qu'il n'en soit convenu autrement par les titulaires de certificats émis auparavant par le séquestre</w:t>
      </w:r>
      <w:r w:rsidR="00334EBD" w:rsidRPr="00927992">
        <w:t>.</w:t>
      </w:r>
    </w:p>
    <w:p w:rsidR="00334EBD" w:rsidRPr="004C22D0" w:rsidRDefault="00334EBD" w:rsidP="005E1F7C">
      <w:pPr>
        <w:pStyle w:val="ORMainHeading"/>
        <w:keepNext/>
        <w:keepLines/>
        <w:widowControl/>
        <w:rPr>
          <w:rFonts w:ascii="Franklin Gothic Book" w:hAnsi="Franklin Gothic Book"/>
          <w:lang w:val="fr-CA"/>
        </w:rPr>
      </w:pPr>
      <w:bookmarkStart w:id="44" w:name="_DV_M107"/>
      <w:bookmarkEnd w:id="44"/>
      <w:r w:rsidRPr="00D44BB9">
        <w:rPr>
          <w:rFonts w:ascii="Franklin Gothic Book" w:hAnsi="Franklin Gothic Book"/>
          <w:lang w:val="fr-CA"/>
        </w:rPr>
        <w:t>Généralités</w:t>
      </w:r>
    </w:p>
    <w:p w:rsidR="00334EBD" w:rsidRPr="004C22D0" w:rsidRDefault="008D4CB5" w:rsidP="003760AF">
      <w:pPr>
        <w:pStyle w:val="ORGenL1"/>
      </w:pPr>
      <w:bookmarkStart w:id="45" w:name="_DV_M108"/>
      <w:bookmarkEnd w:id="45"/>
      <w:r w:rsidRPr="00D44BB9">
        <w:t xml:space="preserve">Selon les besoins, le séquestre peut demander au tribunal des conseils et instructions </w:t>
      </w:r>
      <w:r w:rsidR="00F54C78" w:rsidRPr="00D44BB9">
        <w:t xml:space="preserve">relativement à </w:t>
      </w:r>
      <w:r w:rsidRPr="00D44BB9">
        <w:t>l'utilisation de ses pouvoirs et l'exécution de ses fonctions énoncée</w:t>
      </w:r>
      <w:r w:rsidR="00F54C78" w:rsidRPr="00D44BB9">
        <w:t>s</w:t>
      </w:r>
      <w:r w:rsidRPr="00D44BB9">
        <w:t xml:space="preserve"> dans les présentes</w:t>
      </w:r>
      <w:r w:rsidR="00334EBD" w:rsidRPr="00D44BB9">
        <w:t>.</w:t>
      </w:r>
    </w:p>
    <w:p w:rsidR="00334EBD" w:rsidRPr="004C22D0" w:rsidRDefault="008D4CB5" w:rsidP="003760AF">
      <w:pPr>
        <w:pStyle w:val="ORGenL1"/>
      </w:pPr>
      <w:bookmarkStart w:id="46" w:name="_DV_M109"/>
      <w:bookmarkEnd w:id="46"/>
      <w:r w:rsidRPr="00D44BB9">
        <w:t>Rien dans la présente ordonnance n'empêche le séquestre d'agir à titre de syndic dans la faillite de l'intimé</w:t>
      </w:r>
      <w:r w:rsidR="00334EBD" w:rsidRPr="00D44BB9">
        <w:t>.</w:t>
      </w:r>
    </w:p>
    <w:p w:rsidR="00334EBD" w:rsidRPr="004C22D0" w:rsidRDefault="008D4CB5" w:rsidP="003760AF">
      <w:pPr>
        <w:pStyle w:val="ORGenL1"/>
        <w:rPr>
          <w:color w:val="000000"/>
        </w:rPr>
      </w:pPr>
      <w:bookmarkStart w:id="47" w:name="_DV_C32"/>
      <w:r w:rsidRPr="00D44BB9">
        <w:t>L'aide et la reconnaissance de</w:t>
      </w:r>
      <w:r w:rsidR="00F54C78" w:rsidRPr="00D44BB9">
        <w:t>s</w:t>
      </w:r>
      <w:r w:rsidRPr="00D44BB9">
        <w:t xml:space="preserve"> cours, tribunaux, organismes réglementaires ou administratifs ayant compétence au Canada ou aux États-Unis sont demandées par les présentes pour donner effet à la présente ordonnance et pour aider le séquestre et ses agents à </w:t>
      </w:r>
      <w:r w:rsidR="00E36404" w:rsidRPr="00D44BB9">
        <w:t>l’</w:t>
      </w:r>
      <w:r w:rsidRPr="00D44BB9">
        <w:t>exécuter</w:t>
      </w:r>
      <w:bookmarkEnd w:id="47"/>
      <w:r w:rsidR="00BD0B01" w:rsidRPr="00D44BB9">
        <w:rPr>
          <w:rStyle w:val="DeltaViewInsertion"/>
          <w:color w:val="auto"/>
          <w:u w:val="none"/>
        </w:rPr>
        <w:t>. Par</w:t>
      </w:r>
      <w:r w:rsidRPr="00D44BB9">
        <w:t xml:space="preserve"> les présentes, on demande respectueusement à tous les tribunaux, cours, organismes réglementaires et administratifs de rendre ces ordonnances et de fournir au séquestre, à titre d'officier de justice, l'assistance pouvant être nécessaire ou souhaitable pour donner effet à la présente ordonnance, d'accorder un statut de représentant au séquestre dans toutes les instances étrangères ou d'aider le séquestre et ses agents à exécuter la présente ordonnance</w:t>
      </w:r>
      <w:r w:rsidR="00334EBD" w:rsidRPr="00D44BB9">
        <w:t>.</w:t>
      </w:r>
    </w:p>
    <w:p w:rsidR="00334EBD" w:rsidRPr="004C22D0" w:rsidRDefault="000A0B5A" w:rsidP="003760AF">
      <w:pPr>
        <w:pStyle w:val="ORGenL1"/>
      </w:pPr>
      <w:bookmarkStart w:id="48" w:name="_DV_M112"/>
      <w:bookmarkEnd w:id="48"/>
      <w:r w:rsidRPr="00D44BB9">
        <w:t>P</w:t>
      </w:r>
      <w:r w:rsidR="008D4CB5" w:rsidRPr="00D44BB9">
        <w:t>ar les présentes</w:t>
      </w:r>
      <w:r w:rsidRPr="00D44BB9">
        <w:t>, le séquestre</w:t>
      </w:r>
      <w:r w:rsidR="008D4CB5" w:rsidRPr="00D44BB9">
        <w:t xml:space="preserve"> est autorisé et habilité à faire une demande aux cours, tribunaux, organismes réglementaires ou administratifs, indépendamment du lieu, pour faire reconnaître la présente ordonnance et pour obtenir de l'aide afin d</w:t>
      </w:r>
      <w:r w:rsidR="00E36404" w:rsidRPr="00D44BB9">
        <w:t>e l</w:t>
      </w:r>
      <w:r w:rsidR="008D4CB5" w:rsidRPr="00D44BB9">
        <w:t>'exécuter et le séquestre est autorisé et habilité à agir à titre de représentant en ce qui concerne les présentes procédures aux fins de les faire reconnaître dans une instance à l'extérieur du Canada</w:t>
      </w:r>
      <w:r w:rsidR="00334EBD" w:rsidRPr="00D44BB9">
        <w:t>.</w:t>
      </w:r>
    </w:p>
    <w:p w:rsidR="00334EBD" w:rsidRPr="004C22D0" w:rsidRDefault="00F54C78" w:rsidP="003760AF">
      <w:pPr>
        <w:pStyle w:val="ORGenL1"/>
      </w:pPr>
      <w:bookmarkStart w:id="49" w:name="_DV_M114"/>
      <w:bookmarkEnd w:id="49"/>
      <w:r w:rsidRPr="00D44BB9">
        <w:t xml:space="preserve">Les </w:t>
      </w:r>
      <w:r w:rsidR="008D4CB5" w:rsidRPr="00D44BB9">
        <w:t xml:space="preserve">coûts de </w:t>
      </w:r>
      <w:r w:rsidRPr="00D44BB9">
        <w:t>l</w:t>
      </w:r>
      <w:r w:rsidR="008D4CB5" w:rsidRPr="00D44BB9">
        <w:t>a demande</w:t>
      </w:r>
      <w:r w:rsidRPr="00D44BB9">
        <w:t xml:space="preserve"> du requérant</w:t>
      </w:r>
      <w:r w:rsidR="008D4CB5" w:rsidRPr="00D44BB9">
        <w:t xml:space="preserve">, incluant </w:t>
      </w:r>
      <w:r w:rsidRPr="00D44BB9">
        <w:t>le prononcé et la signification de</w:t>
      </w:r>
      <w:r w:rsidR="008D4CB5" w:rsidRPr="00D44BB9">
        <w:t xml:space="preserve"> la présente ordonnance, </w:t>
      </w:r>
      <w:r w:rsidRPr="00D44BB9">
        <w:t xml:space="preserve">seront </w:t>
      </w:r>
      <w:r w:rsidR="007C7971" w:rsidRPr="00D44BB9">
        <w:t>couverts</w:t>
      </w:r>
      <w:r w:rsidRPr="00D44BB9">
        <w:t xml:space="preserve"> par </w:t>
      </w:r>
      <w:r w:rsidR="008D4CB5" w:rsidRPr="00D44BB9">
        <w:t xml:space="preserve">les </w:t>
      </w:r>
      <w:r w:rsidRPr="00D44BB9">
        <w:t xml:space="preserve">modalités de la sûreté du requérant ou </w:t>
      </w:r>
      <w:r w:rsidR="008D4CB5" w:rsidRPr="00D44BB9">
        <w:t>si</w:t>
      </w:r>
      <w:r w:rsidRPr="00D44BB9">
        <w:t>non</w:t>
      </w:r>
      <w:r w:rsidR="008D4CB5" w:rsidRPr="00D44BB9">
        <w:t xml:space="preserve"> </w:t>
      </w:r>
      <w:r w:rsidRPr="00D44BB9">
        <w:t xml:space="preserve">par </w:t>
      </w:r>
      <w:r w:rsidR="008D4CB5" w:rsidRPr="00D44BB9">
        <w:t>une indemnité importante qui doit être payée par le séquestre à partir des biens de l'intimé, la priorité et l</w:t>
      </w:r>
      <w:r w:rsidRPr="00D44BB9">
        <w:t>e délai</w:t>
      </w:r>
      <w:r w:rsidR="008D4CB5" w:rsidRPr="00D44BB9">
        <w:t xml:space="preserve"> devant être établis par le tribunal</w:t>
      </w:r>
      <w:r w:rsidR="00334EBD" w:rsidRPr="00D44BB9">
        <w:t>.</w:t>
      </w:r>
    </w:p>
    <w:p w:rsidR="00334EBD" w:rsidRPr="004C22D0" w:rsidRDefault="008D4CB5" w:rsidP="003760AF">
      <w:pPr>
        <w:pStyle w:val="ORGenL1"/>
      </w:pPr>
      <w:bookmarkStart w:id="50" w:name="_DV_M115"/>
      <w:bookmarkEnd w:id="50"/>
      <w:r w:rsidRPr="00D44BB9">
        <w:t xml:space="preserve">Toute partie intéressée peut faire une demande au tribunal pour modifier la présente ordonnance en donnant </w:t>
      </w:r>
      <w:r w:rsidR="00F54C78" w:rsidRPr="00D44BB9">
        <w:t>l’</w:t>
      </w:r>
      <w:r w:rsidRPr="00D44BB9">
        <w:t xml:space="preserve">avis exigé par les </w:t>
      </w:r>
      <w:r w:rsidRPr="00D44BB9">
        <w:rPr>
          <w:i/>
        </w:rPr>
        <w:t>Règles de procédures</w:t>
      </w:r>
      <w:r w:rsidRPr="00D44BB9">
        <w:t>, le cas échéant, ou tout autre avis que le tribunal peut ordonner</w:t>
      </w:r>
      <w:r w:rsidR="00334EBD" w:rsidRPr="00D44BB9">
        <w:t>.</w:t>
      </w:r>
    </w:p>
    <w:p w:rsidR="00334EBD" w:rsidRPr="004C22D0" w:rsidRDefault="008D4CB5" w:rsidP="003760AF">
      <w:pPr>
        <w:pStyle w:val="ORGenL1"/>
      </w:pPr>
      <w:r w:rsidRPr="00D44BB9">
        <w:t>Toute personne touchée par la présente ordonnance qui n'a pas reçu à l'avance l</w:t>
      </w:r>
      <w:r w:rsidR="000A0B5A" w:rsidRPr="00D44BB9">
        <w:t>’avis</w:t>
      </w:r>
      <w:r w:rsidRPr="00D44BB9">
        <w:t xml:space="preserve"> de l'audi</w:t>
      </w:r>
      <w:r w:rsidR="00F54C78" w:rsidRPr="00D44BB9">
        <w:t>tion</w:t>
      </w:r>
      <w:r w:rsidRPr="00D44BB9">
        <w:t xml:space="preserve"> </w:t>
      </w:r>
      <w:r w:rsidR="000A0B5A" w:rsidRPr="00D44BB9">
        <w:t>de</w:t>
      </w:r>
      <w:r w:rsidRPr="00D44BB9">
        <w:t xml:space="preserve"> la demande initiale peut demander au tribunal de modifier la présente ordonnance dans les cinq</w:t>
      </w:r>
      <w:r w:rsidR="003C165F" w:rsidRPr="00D44BB9">
        <w:t> </w:t>
      </w:r>
      <w:r w:rsidRPr="00D44BB9">
        <w:t xml:space="preserve">jours après </w:t>
      </w:r>
      <w:r w:rsidR="00F54C78" w:rsidRPr="00D44BB9">
        <w:t>qu’une copie de la présente ordonnance lu</w:t>
      </w:r>
      <w:r w:rsidR="0058554E" w:rsidRPr="00D44BB9">
        <w:t>i</w:t>
      </w:r>
      <w:r w:rsidR="00F54C78" w:rsidRPr="00D44BB9">
        <w:t xml:space="preserve"> ait été </w:t>
      </w:r>
      <w:r w:rsidRPr="00D44BB9">
        <w:t>signifi</w:t>
      </w:r>
      <w:r w:rsidR="00F54C78" w:rsidRPr="00D44BB9">
        <w:t>ée</w:t>
      </w:r>
      <w:r w:rsidR="00334EBD" w:rsidRPr="00D44BB9">
        <w:t>.</w:t>
      </w:r>
    </w:p>
    <w:p w:rsidR="00334EBD" w:rsidRPr="004C22D0" w:rsidRDefault="008D4CB5" w:rsidP="003760AF">
      <w:pPr>
        <w:pStyle w:val="ORGenL1"/>
      </w:pPr>
      <w:bookmarkStart w:id="51" w:name="_DV_M117"/>
      <w:bookmarkEnd w:id="51"/>
      <w:r w:rsidRPr="00D44BB9">
        <w:t>En plus des rapports qu</w:t>
      </w:r>
      <w:r w:rsidR="00F54C78" w:rsidRPr="00D44BB9">
        <w:t>e</w:t>
      </w:r>
      <w:r w:rsidRPr="00D44BB9">
        <w:t xml:space="preserve"> doit </w:t>
      </w:r>
      <w:r w:rsidR="00F54C78" w:rsidRPr="00D44BB9">
        <w:t>déposer</w:t>
      </w:r>
      <w:r w:rsidRPr="00D44BB9">
        <w:t xml:space="preserve"> le séquestre en vertu de la </w:t>
      </w:r>
      <w:r w:rsidRPr="00D44BB9">
        <w:rPr>
          <w:i/>
        </w:rPr>
        <w:t>Loi sur la faillite et l'insolvabilité</w:t>
      </w:r>
      <w:r w:rsidRPr="00D44BB9">
        <w:t xml:space="preserve"> ou de la </w:t>
      </w:r>
      <w:r w:rsidRPr="00D44BB9">
        <w:rPr>
          <w:i/>
        </w:rPr>
        <w:t>Loi sur les corporations commerciales</w:t>
      </w:r>
      <w:r w:rsidRPr="00D44BB9">
        <w:t xml:space="preserve"> du Nouveau-Brunswick, </w:t>
      </w:r>
      <w:r w:rsidR="00F54C78" w:rsidRPr="00D44BB9">
        <w:t xml:space="preserve">si un créancier garanti en fait </w:t>
      </w:r>
      <w:r w:rsidRPr="00D44BB9">
        <w:t>la demande au tribunal, le séquestre doit déposer un rapport de ses activités au tribunal</w:t>
      </w:r>
      <w:r w:rsidR="00334EBD" w:rsidRPr="00D44BB9">
        <w:t>.</w:t>
      </w:r>
    </w:p>
    <w:p w:rsidR="00334EBD" w:rsidRPr="004C22D0" w:rsidRDefault="008D4CB5" w:rsidP="003760AF">
      <w:pPr>
        <w:pStyle w:val="ORGenL1"/>
      </w:pPr>
      <w:bookmarkStart w:id="52" w:name="_DV_M118"/>
      <w:bookmarkEnd w:id="52"/>
      <w:r w:rsidRPr="00D44BB9">
        <w:t xml:space="preserve">Le séquestre ne peut pas être </w:t>
      </w:r>
      <w:r w:rsidR="00F54C78" w:rsidRPr="00D44BB9">
        <w:t xml:space="preserve">libéré </w:t>
      </w:r>
      <w:r w:rsidRPr="00D44BB9">
        <w:t>sans qu'un avis soit donné aux créanciers garantis et aux autres parties comme l'ordonne le tribunal</w:t>
      </w:r>
      <w:r w:rsidR="00334EBD" w:rsidRPr="00D44BB9">
        <w:t>.</w:t>
      </w:r>
    </w:p>
    <w:p w:rsidR="00334EBD" w:rsidRPr="000568F4" w:rsidRDefault="00F54C78" w:rsidP="000568F4">
      <w:pPr>
        <w:pStyle w:val="ORGenL2"/>
      </w:pPr>
      <w:bookmarkStart w:id="53" w:name="_DV_M119"/>
      <w:bookmarkEnd w:id="53"/>
      <w:r w:rsidRPr="000568F4">
        <w:t>F</w:t>
      </w:r>
      <w:r w:rsidR="008D4CB5" w:rsidRPr="000568F4">
        <w:t>a</w:t>
      </w:r>
      <w:r w:rsidRPr="000568F4">
        <w:t>it</w:t>
      </w:r>
      <w:r w:rsidR="008D4CB5" w:rsidRPr="000568F4">
        <w:t xml:space="preserve"> à</w:t>
      </w:r>
      <w:r w:rsidR="00334EBD" w:rsidRPr="000568F4">
        <w:t xml:space="preserve"> _______________ </w:t>
      </w:r>
      <w:r w:rsidR="008D4CB5" w:rsidRPr="000568F4">
        <w:t>(Nouveau-Brunswick)</w:t>
      </w:r>
      <w:r w:rsidR="00334EBD" w:rsidRPr="000568F4">
        <w:t xml:space="preserve">, </w:t>
      </w:r>
      <w:r w:rsidR="008D4CB5" w:rsidRPr="000568F4">
        <w:t xml:space="preserve">en ce </w:t>
      </w:r>
      <w:r w:rsidR="00334EBD" w:rsidRPr="000568F4">
        <w:t>_____</w:t>
      </w:r>
      <w:r w:rsidR="008D4CB5" w:rsidRPr="000568F4">
        <w:t> jour de </w:t>
      </w:r>
      <w:r w:rsidR="00334EBD" w:rsidRPr="000568F4">
        <w:t>___________ ______.</w:t>
      </w:r>
    </w:p>
    <w:p w:rsidR="004C5EDA" w:rsidRPr="00927992" w:rsidRDefault="004C5EDA" w:rsidP="00C17025">
      <w:pPr>
        <w:widowControl/>
        <w:spacing w:after="0"/>
        <w:ind w:left="2880" w:firstLine="720"/>
        <w:jc w:val="center"/>
        <w:rPr>
          <w:rFonts w:ascii="Franklin Gothic Book" w:hAnsi="Franklin Gothic Book"/>
          <w:sz w:val="16"/>
          <w:szCs w:val="16"/>
          <w:lang w:val="fr-CA"/>
        </w:rPr>
      </w:pPr>
      <w:bookmarkStart w:id="54" w:name="_DV_M120"/>
      <w:bookmarkEnd w:id="54"/>
    </w:p>
    <w:p w:rsidR="008E78E5" w:rsidRPr="004C22D0" w:rsidRDefault="003E58E1" w:rsidP="00C17025">
      <w:pPr>
        <w:widowControl/>
        <w:tabs>
          <w:tab w:val="left" w:pos="8640"/>
        </w:tabs>
        <w:spacing w:after="0"/>
        <w:ind w:left="2880" w:firstLine="720"/>
        <w:jc w:val="center"/>
        <w:rPr>
          <w:rFonts w:ascii="Franklin Gothic Book" w:hAnsi="Franklin Gothic Book"/>
          <w:b/>
          <w:u w:val="single"/>
          <w:lang w:val="fr-CA"/>
        </w:rPr>
      </w:pPr>
      <w:r w:rsidRPr="004C22D0">
        <w:rPr>
          <w:rFonts w:ascii="Franklin Gothic Book" w:hAnsi="Franklin Gothic Book"/>
          <w:b/>
          <w:u w:val="single"/>
          <w:lang w:val="fr-CA"/>
        </w:rPr>
        <w:tab/>
      </w:r>
    </w:p>
    <w:p w:rsidR="00334EBD" w:rsidRPr="004C22D0" w:rsidRDefault="00334EBD" w:rsidP="00C17025">
      <w:pPr>
        <w:widowControl/>
        <w:spacing w:after="0"/>
        <w:ind w:left="4320"/>
        <w:jc w:val="left"/>
        <w:rPr>
          <w:rFonts w:ascii="Franklin Gothic Book" w:hAnsi="Franklin Gothic Book"/>
          <w:lang w:val="fr-CA"/>
        </w:rPr>
      </w:pPr>
      <w:bookmarkStart w:id="55" w:name="_DV_M121"/>
      <w:bookmarkEnd w:id="55"/>
      <w:r w:rsidRPr="00D44BB9">
        <w:rPr>
          <w:rFonts w:ascii="Franklin Gothic Book" w:hAnsi="Franklin Gothic Book"/>
          <w:lang w:val="fr-CA"/>
        </w:rPr>
        <w:t>Juge de la Cour du Banc de la Reine du Nouveau-Brunswick</w:t>
      </w:r>
    </w:p>
    <w:p w:rsidR="00334EBD" w:rsidRPr="004C22D0" w:rsidRDefault="00D97DAF" w:rsidP="00C17025">
      <w:pPr>
        <w:pStyle w:val="Addenda"/>
        <w:widowControl/>
        <w:rPr>
          <w:rFonts w:ascii="Franklin Gothic Book" w:hAnsi="Franklin Gothic Book"/>
          <w:lang w:val="fr-CA"/>
        </w:rPr>
      </w:pPr>
      <w:bookmarkStart w:id="56" w:name="_DV_M123"/>
      <w:bookmarkEnd w:id="56"/>
      <w:r w:rsidRPr="004C22D0">
        <w:rPr>
          <w:rFonts w:ascii="Franklin Gothic Book" w:hAnsi="Franklin Gothic Book"/>
          <w:lang w:val="fr-CA"/>
        </w:rPr>
        <w:br w:type="page"/>
      </w:r>
      <w:bookmarkStart w:id="57" w:name="_DV_M124"/>
      <w:bookmarkEnd w:id="57"/>
      <w:r w:rsidR="00334EBD" w:rsidRPr="00D44BB9">
        <w:rPr>
          <w:rFonts w:ascii="Franklin Gothic Book" w:hAnsi="Franklin Gothic Book"/>
          <w:lang w:val="fr-CA"/>
        </w:rPr>
        <w:t>ANNEXE</w:t>
      </w:r>
      <w:r w:rsidR="000568F4">
        <w:rPr>
          <w:rFonts w:ascii="Franklin Gothic Book" w:hAnsi="Franklin Gothic Book"/>
          <w:lang w:val="fr-CA"/>
        </w:rPr>
        <w:t> </w:t>
      </w:r>
      <w:r w:rsidR="00334EBD" w:rsidRPr="00D44BB9">
        <w:rPr>
          <w:rFonts w:ascii="Franklin Gothic Book" w:hAnsi="Franklin Gothic Book"/>
          <w:lang w:val="fr-CA"/>
        </w:rPr>
        <w:t>« A »</w:t>
      </w:r>
    </w:p>
    <w:p w:rsidR="00334EBD" w:rsidRPr="004C22D0" w:rsidRDefault="00334EBD" w:rsidP="00C17025">
      <w:pPr>
        <w:pStyle w:val="ORCentre"/>
        <w:widowControl/>
        <w:rPr>
          <w:rFonts w:ascii="Franklin Gothic Book" w:hAnsi="Franklin Gothic Book"/>
          <w:b/>
          <w:lang w:val="fr-CA"/>
        </w:rPr>
      </w:pPr>
      <w:r w:rsidRPr="00D44BB9">
        <w:rPr>
          <w:rFonts w:ascii="Franklin Gothic Book" w:hAnsi="Franklin Gothic Book"/>
          <w:b/>
          <w:lang w:val="fr-CA"/>
        </w:rPr>
        <w:t>CERTIFICAT</w:t>
      </w:r>
      <w:r w:rsidR="00CA176C" w:rsidRPr="00D44BB9">
        <w:rPr>
          <w:rFonts w:ascii="Franklin Gothic Book" w:hAnsi="Franklin Gothic Book"/>
          <w:b/>
          <w:lang w:val="fr-CA"/>
        </w:rPr>
        <w:t xml:space="preserve"> DU SÉQUESTRE</w:t>
      </w:r>
    </w:p>
    <w:p w:rsidR="00334EBD" w:rsidRPr="004C22D0" w:rsidRDefault="00334EBD" w:rsidP="00C17025">
      <w:pPr>
        <w:pStyle w:val="ORLeft"/>
        <w:widowControl/>
        <w:rPr>
          <w:rFonts w:ascii="Franklin Gothic Book" w:hAnsi="Franklin Gothic Book"/>
          <w:lang w:val="fr-CA"/>
        </w:rPr>
      </w:pPr>
      <w:bookmarkStart w:id="58" w:name="_DV_M125"/>
      <w:bookmarkEnd w:id="58"/>
      <w:r w:rsidRPr="00D44BB9">
        <w:rPr>
          <w:rFonts w:ascii="Franklin Gothic Book" w:hAnsi="Franklin Gothic Book"/>
          <w:lang w:val="fr-CA"/>
        </w:rPr>
        <w:t>CERTIFICAT N</w:t>
      </w:r>
      <w:r w:rsidRPr="00D44BB9">
        <w:rPr>
          <w:rFonts w:ascii="Franklin Gothic Book" w:hAnsi="Franklin Gothic Book"/>
          <w:vertAlign w:val="superscript"/>
          <w:lang w:val="fr-CA"/>
        </w:rPr>
        <w:t>O</w:t>
      </w:r>
      <w:r w:rsidRPr="00D44BB9">
        <w:rPr>
          <w:rFonts w:ascii="Franklin Gothic Book" w:hAnsi="Franklin Gothic Book"/>
          <w:lang w:val="fr-CA"/>
        </w:rPr>
        <w:t xml:space="preserve"> ______________</w:t>
      </w:r>
    </w:p>
    <w:p w:rsidR="00334EBD" w:rsidRPr="004C22D0" w:rsidRDefault="00334EBD" w:rsidP="00C17025">
      <w:pPr>
        <w:pStyle w:val="ORLeft"/>
        <w:widowControl/>
        <w:rPr>
          <w:rFonts w:ascii="Franklin Gothic Book" w:hAnsi="Franklin Gothic Book"/>
          <w:lang w:val="fr-CA"/>
        </w:rPr>
      </w:pPr>
      <w:bookmarkStart w:id="59" w:name="_DV_M126"/>
      <w:bookmarkEnd w:id="59"/>
      <w:r w:rsidRPr="00D44BB9">
        <w:rPr>
          <w:rFonts w:ascii="Franklin Gothic Book" w:hAnsi="Franklin Gothic Book"/>
          <w:lang w:val="fr-CA"/>
        </w:rPr>
        <w:t>Montant</w:t>
      </w:r>
      <w:r w:rsidR="00CA176C" w:rsidRPr="00D44BB9">
        <w:rPr>
          <w:rFonts w:ascii="Franklin Gothic Book" w:hAnsi="Franklin Gothic Book"/>
          <w:lang w:val="fr-CA"/>
        </w:rPr>
        <w:t xml:space="preserve"> ______________ $</w:t>
      </w:r>
      <w:r w:rsidRPr="00D44BB9">
        <w:rPr>
          <w:rFonts w:ascii="Franklin Gothic Book" w:hAnsi="Franklin Gothic Book"/>
          <w:lang w:val="fr-CA"/>
        </w:rPr>
        <w:t xml:space="preserve"> </w:t>
      </w:r>
    </w:p>
    <w:p w:rsidR="00334EBD" w:rsidRPr="004C22D0" w:rsidRDefault="00CA176C" w:rsidP="003760AF">
      <w:pPr>
        <w:pStyle w:val="ORGenL1"/>
        <w:numPr>
          <w:ilvl w:val="0"/>
          <w:numId w:val="0"/>
        </w:numPr>
        <w:ind w:left="840"/>
      </w:pPr>
      <w:bookmarkStart w:id="60" w:name="_DV_M127"/>
      <w:bookmarkEnd w:id="60"/>
      <w:r w:rsidRPr="00D44BB9">
        <w:t xml:space="preserve">LES PRÉSENTES CERTIFIENT que </w:t>
      </w:r>
      <w:r w:rsidR="00334EBD" w:rsidRPr="00D44BB9">
        <w:t>[</w:t>
      </w:r>
      <w:r w:rsidRPr="00D44BB9">
        <w:t>NOM DU SÉQUESTRE</w:t>
      </w:r>
      <w:r w:rsidR="00334EBD" w:rsidRPr="00D44BB9">
        <w:t>],</w:t>
      </w:r>
      <w:r w:rsidRPr="00D44BB9">
        <w:t xml:space="preserve"> séquestre (le « </w:t>
      </w:r>
      <w:r w:rsidRPr="00D44BB9">
        <w:rPr>
          <w:b/>
        </w:rPr>
        <w:t>séquestre</w:t>
      </w:r>
      <w:r w:rsidRPr="00D44BB9">
        <w:t> ») de</w:t>
      </w:r>
      <w:r w:rsidR="00BD0B01" w:rsidRPr="00D44BB9">
        <w:t>s</w:t>
      </w:r>
      <w:r w:rsidRPr="00D44BB9">
        <w:t xml:space="preserve"> actifs, engagements et bien</w:t>
      </w:r>
      <w:r w:rsidR="00BD0B01" w:rsidRPr="00D44BB9">
        <w:t>s</w:t>
      </w:r>
      <w:r w:rsidRPr="00D44BB9">
        <w:t xml:space="preserve"> de</w:t>
      </w:r>
      <w:r w:rsidR="00334EBD" w:rsidRPr="00D44BB9">
        <w:t xml:space="preserve"> [</w:t>
      </w:r>
      <w:r w:rsidRPr="00D44BB9">
        <w:t>NOM DU DÉBITEUR</w:t>
      </w:r>
      <w:r w:rsidR="00334EBD" w:rsidRPr="00D44BB9">
        <w:t>]</w:t>
      </w:r>
      <w:r w:rsidRPr="00D44BB9">
        <w:t>,</w:t>
      </w:r>
      <w:r w:rsidR="00334EBD" w:rsidRPr="00D44BB9">
        <w:t xml:space="preserve"> </w:t>
      </w:r>
      <w:r w:rsidRPr="00D44BB9">
        <w:t xml:space="preserve">acquis dans le cadre des affaires ou utilisés en rapport avec les affaires exécutées par le débiteur, incluant tous les produits </w:t>
      </w:r>
      <w:r w:rsidR="00A41C91" w:rsidRPr="00D44BB9">
        <w:t>correspondants</w:t>
      </w:r>
      <w:r w:rsidRPr="00D44BB9">
        <w:t xml:space="preserve"> (collectivement appelé</w:t>
      </w:r>
      <w:r w:rsidR="00BD0B01" w:rsidRPr="00D44BB9">
        <w:t>s</w:t>
      </w:r>
      <w:r w:rsidRPr="00D44BB9">
        <w:t xml:space="preserve"> les « </w:t>
      </w:r>
      <w:r w:rsidRPr="00D44BB9">
        <w:rPr>
          <w:b/>
        </w:rPr>
        <w:t>biens</w:t>
      </w:r>
      <w:r w:rsidRPr="00D44BB9">
        <w:t> »), nommé par ordonnance de la Cour du Banc de la Reine du Nouveau-Brunswick (le « </w:t>
      </w:r>
      <w:r w:rsidRPr="00D44BB9">
        <w:rPr>
          <w:b/>
        </w:rPr>
        <w:t>tribunal</w:t>
      </w:r>
      <w:r w:rsidRPr="00D44BB9">
        <w:t xml:space="preserve"> ») en date du </w:t>
      </w:r>
      <w:r w:rsidR="00334EBD" w:rsidRPr="00D44BB9">
        <w:t xml:space="preserve">___ </w:t>
      </w:r>
      <w:r w:rsidRPr="00D44BB9">
        <w:t>jour de</w:t>
      </w:r>
      <w:r w:rsidR="00334EBD" w:rsidRPr="00D44BB9">
        <w:t xml:space="preserve"> ______</w:t>
      </w:r>
      <w:r w:rsidRPr="00D44BB9">
        <w:t> </w:t>
      </w:r>
      <w:r w:rsidR="00334EBD" w:rsidRPr="00D44BB9">
        <w:t>20__ (</w:t>
      </w:r>
      <w:r w:rsidRPr="00D44BB9">
        <w:t>l'« </w:t>
      </w:r>
      <w:r w:rsidRPr="00D44BB9">
        <w:rPr>
          <w:b/>
        </w:rPr>
        <w:t>ordonnance</w:t>
      </w:r>
      <w:r w:rsidRPr="00D44BB9">
        <w:t> »</w:t>
      </w:r>
      <w:r w:rsidR="00334EBD" w:rsidRPr="00D44BB9">
        <w:t xml:space="preserve">) </w:t>
      </w:r>
      <w:r w:rsidRPr="00D44BB9">
        <w:t>rendue dans le cadre d'une procédure dont le numéro de dossier d</w:t>
      </w:r>
      <w:r w:rsidR="00EA2626" w:rsidRPr="00D44BB9">
        <w:t>e la cour</w:t>
      </w:r>
      <w:r w:rsidRPr="00D44BB9">
        <w:t xml:space="preserve"> est </w:t>
      </w:r>
      <w:r w:rsidR="00334EBD" w:rsidRPr="00D44BB9">
        <w:t>_______,</w:t>
      </w:r>
      <w:r w:rsidRPr="00D44BB9">
        <w:t xml:space="preserve"> a reçu </w:t>
      </w:r>
      <w:r w:rsidR="00A41C91" w:rsidRPr="00D44BB9">
        <w:t xml:space="preserve">en sa qualité de </w:t>
      </w:r>
      <w:r w:rsidRPr="00D44BB9">
        <w:t>séquestre d</w:t>
      </w:r>
      <w:r w:rsidR="00A41C91" w:rsidRPr="00D44BB9">
        <w:t>e la part d</w:t>
      </w:r>
      <w:r w:rsidRPr="00D44BB9">
        <w:t>u détenteur du présent certificat (le « </w:t>
      </w:r>
      <w:r w:rsidRPr="00D44BB9">
        <w:rPr>
          <w:b/>
        </w:rPr>
        <w:t>prêteur</w:t>
      </w:r>
      <w:r w:rsidRPr="00D44BB9">
        <w:t> ») la somme de</w:t>
      </w:r>
      <w:r w:rsidR="00334EBD" w:rsidRPr="00D44BB9">
        <w:t xml:space="preserve"> ___________</w:t>
      </w:r>
      <w:r w:rsidRPr="00D44BB9">
        <w:t> $</w:t>
      </w:r>
      <w:r w:rsidR="00334EBD" w:rsidRPr="00D44BB9">
        <w:t>,</w:t>
      </w:r>
      <w:r w:rsidRPr="00D44BB9">
        <w:t xml:space="preserve"> faisant partie du principal </w:t>
      </w:r>
      <w:r w:rsidR="00A41C91" w:rsidRPr="00D44BB9">
        <w:t>total</w:t>
      </w:r>
      <w:r w:rsidR="00EA2626" w:rsidRPr="00D44BB9">
        <w:t>isant</w:t>
      </w:r>
      <w:r w:rsidRPr="00D44BB9">
        <w:t xml:space="preserve"> </w:t>
      </w:r>
      <w:r w:rsidR="00334EBD" w:rsidRPr="00D44BB9">
        <w:t>___________</w:t>
      </w:r>
      <w:r w:rsidRPr="00D44BB9">
        <w:t xml:space="preserve"> $ que le séquestre est autorisé à emprunter en vertu </w:t>
      </w:r>
      <w:r w:rsidR="00BD0B01" w:rsidRPr="00D44BB9">
        <w:t xml:space="preserve">et en conformité </w:t>
      </w:r>
      <w:r w:rsidRPr="00D44BB9">
        <w:t>de la présente ordonnance</w:t>
      </w:r>
      <w:r w:rsidR="00334EBD" w:rsidRPr="00D44BB9">
        <w:t>.</w:t>
      </w:r>
    </w:p>
    <w:p w:rsidR="00334EBD" w:rsidRPr="004C22D0" w:rsidRDefault="00005B58" w:rsidP="003760AF">
      <w:pPr>
        <w:pStyle w:val="ORGenL1"/>
        <w:numPr>
          <w:ilvl w:val="0"/>
          <w:numId w:val="0"/>
        </w:numPr>
        <w:ind w:left="840"/>
      </w:pPr>
      <w:bookmarkStart w:id="61" w:name="_DV_M128"/>
      <w:bookmarkEnd w:id="61"/>
      <w:r w:rsidRPr="00D44BB9">
        <w:t xml:space="preserve">Le principal indiqué dans le présent certificat est payable </w:t>
      </w:r>
      <w:r w:rsidR="00A41C91" w:rsidRPr="00D44BB9">
        <w:t xml:space="preserve">à la </w:t>
      </w:r>
      <w:r w:rsidRPr="00D44BB9">
        <w:t xml:space="preserve">demande </w:t>
      </w:r>
      <w:r w:rsidR="00A41C91" w:rsidRPr="00D44BB9">
        <w:t>du</w:t>
      </w:r>
      <w:r w:rsidRPr="00D44BB9">
        <w:t xml:space="preserve"> prêteur</w:t>
      </w:r>
      <w:r w:rsidR="00BD0B01" w:rsidRPr="00D44BB9">
        <w:t>,</w:t>
      </w:r>
      <w:r w:rsidRPr="00D44BB9">
        <w:t xml:space="preserve"> les intérêts </w:t>
      </w:r>
      <w:r w:rsidR="00A41C91" w:rsidRPr="00D44BB9">
        <w:t xml:space="preserve">afférents </w:t>
      </w:r>
      <w:r w:rsidRPr="00D44BB9">
        <w:t xml:space="preserve">étant calculés et composés </w:t>
      </w:r>
      <w:r w:rsidR="00334EBD" w:rsidRPr="00D44BB9">
        <w:t>[</w:t>
      </w:r>
      <w:r w:rsidRPr="00D44BB9">
        <w:t>chaque jour</w:t>
      </w:r>
      <w:r w:rsidR="00334EBD" w:rsidRPr="00D44BB9">
        <w:t>]</w:t>
      </w:r>
      <w:r w:rsidR="00BD0B01" w:rsidRPr="00D44BB9">
        <w:t xml:space="preserve"> </w:t>
      </w:r>
      <w:r w:rsidR="00334EBD" w:rsidRPr="00D44BB9">
        <w:t>[</w:t>
      </w:r>
      <w:r w:rsidRPr="00D44BB9">
        <w:t>chaque mois mais non avant le</w:t>
      </w:r>
      <w:r w:rsidR="00334EBD" w:rsidRPr="00D44BB9">
        <w:t xml:space="preserve"> _______</w:t>
      </w:r>
      <w:r w:rsidRPr="00D44BB9">
        <w:t> jour de chaque mois</w:t>
      </w:r>
      <w:r w:rsidR="00334EBD" w:rsidRPr="00D44BB9">
        <w:t>]</w:t>
      </w:r>
      <w:r w:rsidRPr="00D44BB9">
        <w:t xml:space="preserve"> après la date indiquée ici à un tarif annuel </w:t>
      </w:r>
      <w:r w:rsidR="00BD0B01" w:rsidRPr="00D44BB9">
        <w:t>représentatif</w:t>
      </w:r>
      <w:r w:rsidRPr="00D44BB9">
        <w:t xml:space="preserve"> égal au tarif de </w:t>
      </w:r>
      <w:r w:rsidR="00334EBD" w:rsidRPr="00D44BB9">
        <w:t>______ p</w:t>
      </w:r>
      <w:r w:rsidRPr="00D44BB9">
        <w:t>ou</w:t>
      </w:r>
      <w:r w:rsidR="00334EBD" w:rsidRPr="00D44BB9">
        <w:t xml:space="preserve">r cent </w:t>
      </w:r>
      <w:r w:rsidRPr="00D44BB9">
        <w:t xml:space="preserve">au-dessus du taux </w:t>
      </w:r>
      <w:r w:rsidR="00BD0B01" w:rsidRPr="00D44BB9">
        <w:t xml:space="preserve">d’intérêt sur prêts </w:t>
      </w:r>
      <w:r w:rsidRPr="00D44BB9">
        <w:t>commercia</w:t>
      </w:r>
      <w:r w:rsidR="00BD0B01" w:rsidRPr="00D44BB9">
        <w:t>ux de premier ordre</w:t>
      </w:r>
      <w:r w:rsidRPr="00D44BB9">
        <w:t xml:space="preserve"> de la Banque </w:t>
      </w:r>
      <w:r w:rsidR="00334EBD" w:rsidRPr="00D44BB9">
        <w:t>_________</w:t>
      </w:r>
      <w:r w:rsidRPr="00D44BB9">
        <w:t>, le</w:t>
      </w:r>
      <w:r w:rsidR="00A41C91" w:rsidRPr="00D44BB9">
        <w:t xml:space="preserve"> cas échéant</w:t>
      </w:r>
      <w:r w:rsidR="00334EBD" w:rsidRPr="00D44BB9">
        <w:t>.</w:t>
      </w:r>
    </w:p>
    <w:p w:rsidR="00334EBD" w:rsidRPr="004C22D0" w:rsidRDefault="00005B58" w:rsidP="003760AF">
      <w:pPr>
        <w:pStyle w:val="ORGenL1"/>
        <w:numPr>
          <w:ilvl w:val="0"/>
          <w:numId w:val="0"/>
        </w:numPr>
        <w:ind w:left="840"/>
      </w:pPr>
      <w:bookmarkStart w:id="62" w:name="_DV_M129"/>
      <w:bookmarkEnd w:id="62"/>
      <w:r w:rsidRPr="00D44BB9">
        <w:t xml:space="preserve">Ce principal et les intérêts </w:t>
      </w:r>
      <w:r w:rsidR="00BD0B01" w:rsidRPr="00D44BB9">
        <w:t>afférents constituent</w:t>
      </w:r>
      <w:r w:rsidRPr="00D44BB9">
        <w:t xml:space="preserve">, aux termes de la présente ordonnance, ainsi que le principal et les intérêts </w:t>
      </w:r>
      <w:r w:rsidR="00BD0B01" w:rsidRPr="00D44BB9">
        <w:t xml:space="preserve">afférents </w:t>
      </w:r>
      <w:r w:rsidRPr="00D44BB9">
        <w:t xml:space="preserve">de tous les autres certificats délivrés par le séquestre en </w:t>
      </w:r>
      <w:r w:rsidR="00BD0B01" w:rsidRPr="00D44BB9">
        <w:t xml:space="preserve">conformité </w:t>
      </w:r>
      <w:r w:rsidRPr="00D44BB9">
        <w:t xml:space="preserve">de la présente ordonnance ou d'une </w:t>
      </w:r>
      <w:r w:rsidR="00F40F9A" w:rsidRPr="00D44BB9">
        <w:t xml:space="preserve">autre </w:t>
      </w:r>
      <w:r w:rsidRPr="00D44BB9">
        <w:t xml:space="preserve">ordonnance </w:t>
      </w:r>
      <w:r w:rsidR="00F40F9A" w:rsidRPr="00D44BB9">
        <w:t>rendue par le</w:t>
      </w:r>
      <w:r w:rsidRPr="00D44BB9">
        <w:t xml:space="preserve"> tribunal, une charge grevée sur l</w:t>
      </w:r>
      <w:r w:rsidR="00A41C91" w:rsidRPr="00D44BB9">
        <w:t>’ensemble d</w:t>
      </w:r>
      <w:r w:rsidRPr="00D44BB9">
        <w:t>es biens (</w:t>
      </w:r>
      <w:r w:rsidR="00A41C91" w:rsidRPr="00D44BB9">
        <w:t xml:space="preserve">tels que </w:t>
      </w:r>
      <w:r w:rsidRPr="00D44BB9">
        <w:t xml:space="preserve">définis dans l'ordonnance) </w:t>
      </w:r>
      <w:r w:rsidR="00EA2626" w:rsidRPr="00D44BB9">
        <w:t>qui a priorité</w:t>
      </w:r>
      <w:r w:rsidRPr="00D44BB9">
        <w:t xml:space="preserve"> sur les sûretés de toute autre personne, mais non sur les charges </w:t>
      </w:r>
      <w:r w:rsidR="00BD0B01" w:rsidRPr="00D44BB9">
        <w:t>prévues</w:t>
      </w:r>
      <w:r w:rsidRPr="00D44BB9">
        <w:t xml:space="preserve"> dans l'ordonnance et dans la </w:t>
      </w:r>
      <w:r w:rsidRPr="00D44BB9">
        <w:rPr>
          <w:i/>
        </w:rPr>
        <w:t>Loi sur la faillite et l'insolvabilité</w:t>
      </w:r>
      <w:r w:rsidRPr="00D44BB9">
        <w:t>, ni sur le droit du séquestre de s'accorder une indemnité grevée sur ces biens et correspondant à sa rémunération et à ses dépenses</w:t>
      </w:r>
      <w:r w:rsidR="00334EBD" w:rsidRPr="00D44BB9">
        <w:t>.</w:t>
      </w:r>
    </w:p>
    <w:p w:rsidR="00334EBD" w:rsidRPr="004C22D0" w:rsidRDefault="00005B58" w:rsidP="003760AF">
      <w:pPr>
        <w:pStyle w:val="ORGenL1"/>
        <w:numPr>
          <w:ilvl w:val="0"/>
          <w:numId w:val="0"/>
        </w:numPr>
        <w:ind w:left="840"/>
      </w:pPr>
      <w:bookmarkStart w:id="63" w:name="_DV_M130"/>
      <w:bookmarkEnd w:id="63"/>
      <w:r w:rsidRPr="00D44BB9">
        <w:t xml:space="preserve">Toutes les sommes </w:t>
      </w:r>
      <w:r w:rsidR="00BD0B01" w:rsidRPr="00D44BB9">
        <w:t xml:space="preserve">applicables relativement </w:t>
      </w:r>
      <w:r w:rsidRPr="00D44BB9">
        <w:t xml:space="preserve">au principal et aux intérêts </w:t>
      </w:r>
      <w:r w:rsidR="00A41C91" w:rsidRPr="00D44BB9">
        <w:t xml:space="preserve">afférents </w:t>
      </w:r>
      <w:r w:rsidRPr="00D44BB9">
        <w:t>en vertu du présent certificat sont payables au bureau principal du prêteur à</w:t>
      </w:r>
      <w:r w:rsidR="00334EBD" w:rsidRPr="00D44BB9">
        <w:t>_________, ________.</w:t>
      </w:r>
    </w:p>
    <w:p w:rsidR="00334EBD" w:rsidRPr="004C22D0" w:rsidRDefault="00005B58" w:rsidP="003760AF">
      <w:pPr>
        <w:pStyle w:val="ORGenL1"/>
        <w:numPr>
          <w:ilvl w:val="0"/>
          <w:numId w:val="0"/>
        </w:numPr>
        <w:ind w:left="840"/>
      </w:pPr>
      <w:bookmarkStart w:id="64" w:name="_DV_M131"/>
      <w:bookmarkEnd w:id="64"/>
      <w:r w:rsidRPr="00D44BB9">
        <w:t>Tant que toute</w:t>
      </w:r>
      <w:r w:rsidR="00BD0B01" w:rsidRPr="00D44BB9">
        <w:t xml:space="preserve"> la </w:t>
      </w:r>
      <w:r w:rsidR="00A41C91" w:rsidRPr="00D44BB9">
        <w:t>dette</w:t>
      </w:r>
      <w:r w:rsidR="00BD0B01" w:rsidRPr="00D44BB9">
        <w:t xml:space="preserve"> relativement au </w:t>
      </w:r>
      <w:r w:rsidRPr="00D44BB9">
        <w:t>présent certificat n</w:t>
      </w:r>
      <w:r w:rsidR="00BD0B01" w:rsidRPr="00D44BB9">
        <w:t>’</w:t>
      </w:r>
      <w:r w:rsidRPr="00D44BB9">
        <w:t xml:space="preserve">est pas </w:t>
      </w:r>
      <w:r w:rsidR="00A41C91" w:rsidRPr="00D44BB9">
        <w:t>remboursée</w:t>
      </w:r>
      <w:r w:rsidRPr="00D44BB9">
        <w:t xml:space="preserve">, aucun certificat créant </w:t>
      </w:r>
      <w:r w:rsidR="00BD0B01" w:rsidRPr="00D44BB9">
        <w:t xml:space="preserve">ou présumé créer </w:t>
      </w:r>
      <w:r w:rsidRPr="00D44BB9">
        <w:t xml:space="preserve">des charges ayant priorité sur le présent certificat ne sera délivré par le séquestre à une personne autre que le </w:t>
      </w:r>
      <w:r w:rsidR="00BD0B01" w:rsidRPr="00D44BB9">
        <w:t>détenteur</w:t>
      </w:r>
      <w:r w:rsidRPr="00D44BB9">
        <w:t xml:space="preserve"> du présent certificat sans le consentement écrit préalable du </w:t>
      </w:r>
      <w:r w:rsidR="00BD0B01" w:rsidRPr="00D44BB9">
        <w:t xml:space="preserve">détenteur </w:t>
      </w:r>
      <w:r w:rsidRPr="00D44BB9">
        <w:t>du présent certificat</w:t>
      </w:r>
      <w:r w:rsidR="00334EBD" w:rsidRPr="00D44BB9">
        <w:t>.</w:t>
      </w:r>
    </w:p>
    <w:p w:rsidR="00334EBD" w:rsidRPr="004C22D0" w:rsidRDefault="00005B58" w:rsidP="003760AF">
      <w:pPr>
        <w:pStyle w:val="ORGenL1"/>
        <w:numPr>
          <w:ilvl w:val="0"/>
          <w:numId w:val="0"/>
        </w:numPr>
        <w:ind w:left="840"/>
      </w:pPr>
      <w:bookmarkStart w:id="65" w:name="_DV_M132"/>
      <w:bookmarkEnd w:id="65"/>
      <w:r w:rsidRPr="00D44BB9">
        <w:t>La charge garantissant le présent certificat sera telle qu’elle permettra au séquestre de traiter les biens (</w:t>
      </w:r>
      <w:r w:rsidR="00A41C91" w:rsidRPr="00D44BB9">
        <w:t xml:space="preserve">tels que </w:t>
      </w:r>
      <w:r w:rsidRPr="00D44BB9">
        <w:t xml:space="preserve">définis dans l'ordonnance) comme il est autorisé </w:t>
      </w:r>
      <w:r w:rsidR="00BD0B01" w:rsidRPr="00D44BB9">
        <w:t>à</w:t>
      </w:r>
      <w:r w:rsidRPr="00D44BB9">
        <w:t xml:space="preserve"> le faire par la présente ordonnance et par toute </w:t>
      </w:r>
      <w:r w:rsidR="00F40F9A" w:rsidRPr="00D44BB9">
        <w:t xml:space="preserve">autre </w:t>
      </w:r>
      <w:r w:rsidRPr="00D44BB9">
        <w:t xml:space="preserve">ordonnance </w:t>
      </w:r>
      <w:r w:rsidR="00EA2626" w:rsidRPr="00D44BB9">
        <w:t xml:space="preserve">qui sera </w:t>
      </w:r>
      <w:r w:rsidR="00F40F9A" w:rsidRPr="00D44BB9">
        <w:t>rendue par le</w:t>
      </w:r>
      <w:r w:rsidRPr="00D44BB9">
        <w:t xml:space="preserve"> tribunal</w:t>
      </w:r>
      <w:r w:rsidR="00334EBD" w:rsidRPr="00D44BB9">
        <w:t>.</w:t>
      </w:r>
    </w:p>
    <w:p w:rsidR="00334EBD" w:rsidRPr="004C22D0" w:rsidRDefault="00005B58" w:rsidP="003760AF">
      <w:pPr>
        <w:pStyle w:val="ORGenL1"/>
        <w:numPr>
          <w:ilvl w:val="0"/>
          <w:numId w:val="0"/>
        </w:numPr>
        <w:ind w:left="840"/>
      </w:pPr>
      <w:bookmarkStart w:id="66" w:name="_DV_M133"/>
      <w:bookmarkEnd w:id="66"/>
      <w:r w:rsidRPr="00D44BB9">
        <w:t xml:space="preserve">Le séquestre ne </w:t>
      </w:r>
      <w:r w:rsidR="00BD0B01" w:rsidRPr="00D44BB9">
        <w:t>s’engage</w:t>
      </w:r>
      <w:r w:rsidRPr="00D44BB9">
        <w:t xml:space="preserve"> pas</w:t>
      </w:r>
      <w:r w:rsidR="00BD0B01" w:rsidRPr="00D44BB9">
        <w:t xml:space="preserve"> à payer toute somme à l'égard de laquelle il peut délivrer des certificats aux termes de la présente ordonnance</w:t>
      </w:r>
      <w:r w:rsidRPr="00D44BB9">
        <w:t xml:space="preserve"> et il </w:t>
      </w:r>
      <w:r w:rsidR="00BD0B01" w:rsidRPr="00D44BB9">
        <w:t>est dégagé de toute responsabilité personnelle à cet égard</w:t>
      </w:r>
      <w:r w:rsidR="00334EBD" w:rsidRPr="00D44BB9">
        <w:t>.</w:t>
      </w:r>
    </w:p>
    <w:p w:rsidR="00334EBD" w:rsidRPr="004C22D0" w:rsidRDefault="00A41C91" w:rsidP="00C17025">
      <w:pPr>
        <w:pStyle w:val="ORLeft"/>
        <w:widowControl/>
        <w:rPr>
          <w:rFonts w:ascii="Franklin Gothic Book" w:hAnsi="Franklin Gothic Book"/>
          <w:lang w:val="fr-CA"/>
        </w:rPr>
      </w:pPr>
      <w:bookmarkStart w:id="67" w:name="_DV_M134"/>
      <w:bookmarkEnd w:id="67"/>
      <w:r w:rsidRPr="00D44BB9">
        <w:rPr>
          <w:rFonts w:ascii="Franklin Gothic Book" w:hAnsi="Franklin Gothic Book"/>
          <w:lang w:val="fr-CA"/>
        </w:rPr>
        <w:t>F</w:t>
      </w:r>
      <w:r w:rsidR="00334EBD" w:rsidRPr="00D44BB9">
        <w:rPr>
          <w:rFonts w:ascii="Franklin Gothic Book" w:hAnsi="Franklin Gothic Book"/>
          <w:lang w:val="fr-CA"/>
        </w:rPr>
        <w:t>A</w:t>
      </w:r>
      <w:r w:rsidRPr="00D44BB9">
        <w:rPr>
          <w:rFonts w:ascii="Franklin Gothic Book" w:hAnsi="Franklin Gothic Book"/>
          <w:lang w:val="fr-CA"/>
        </w:rPr>
        <w:t>I</w:t>
      </w:r>
      <w:r w:rsidR="00334EBD" w:rsidRPr="00D44BB9">
        <w:rPr>
          <w:rFonts w:ascii="Franklin Gothic Book" w:hAnsi="Franklin Gothic Book"/>
          <w:lang w:val="fr-CA"/>
        </w:rPr>
        <w:t>T</w:t>
      </w:r>
      <w:r w:rsidR="00005B58" w:rsidRPr="00D44BB9">
        <w:rPr>
          <w:rFonts w:ascii="Franklin Gothic Book" w:hAnsi="Franklin Gothic Book"/>
          <w:lang w:val="fr-CA"/>
        </w:rPr>
        <w:t xml:space="preserve"> le</w:t>
      </w:r>
      <w:r w:rsidR="00334EBD" w:rsidRPr="00D44BB9">
        <w:rPr>
          <w:rFonts w:ascii="Franklin Gothic Book" w:hAnsi="Franklin Gothic Book"/>
          <w:lang w:val="fr-CA"/>
        </w:rPr>
        <w:t xml:space="preserve"> _____</w:t>
      </w:r>
      <w:r w:rsidR="00005B58" w:rsidRPr="00D44BB9">
        <w:rPr>
          <w:rFonts w:ascii="Franklin Gothic Book" w:hAnsi="Franklin Gothic Book"/>
          <w:lang w:val="fr-CA"/>
        </w:rPr>
        <w:t> jour de</w:t>
      </w:r>
      <w:r w:rsidR="00334EBD" w:rsidRPr="00D44BB9">
        <w:rPr>
          <w:rFonts w:ascii="Franklin Gothic Book" w:hAnsi="Franklin Gothic Book"/>
          <w:lang w:val="fr-CA"/>
        </w:rPr>
        <w:t xml:space="preserve"> ______________</w:t>
      </w:r>
      <w:r w:rsidR="00005B58" w:rsidRPr="00D44BB9">
        <w:rPr>
          <w:rFonts w:ascii="Franklin Gothic Book" w:hAnsi="Franklin Gothic Book"/>
          <w:lang w:val="fr-CA"/>
        </w:rPr>
        <w:t> </w:t>
      </w:r>
      <w:r w:rsidR="00334EBD" w:rsidRPr="00D44BB9">
        <w:rPr>
          <w:rFonts w:ascii="Franklin Gothic Book" w:hAnsi="Franklin Gothic Book"/>
          <w:lang w:val="fr-CA"/>
        </w:rPr>
        <w:t>20__.</w:t>
      </w:r>
    </w:p>
    <w:tbl>
      <w:tblPr>
        <w:tblW w:w="0" w:type="auto"/>
        <w:tblLayout w:type="fixed"/>
        <w:tblLook w:val="0000" w:firstRow="0" w:lastRow="0" w:firstColumn="0" w:lastColumn="0" w:noHBand="0" w:noVBand="0"/>
      </w:tblPr>
      <w:tblGrid>
        <w:gridCol w:w="738"/>
        <w:gridCol w:w="3150"/>
        <w:gridCol w:w="720"/>
        <w:gridCol w:w="720"/>
        <w:gridCol w:w="4230"/>
      </w:tblGrid>
      <w:tr w:rsidR="008E78E5" w:rsidRPr="0059793D" w:rsidTr="00740595">
        <w:trPr>
          <w:trHeight w:val="800"/>
        </w:trPr>
        <w:tc>
          <w:tcPr>
            <w:tcW w:w="3888" w:type="dxa"/>
            <w:gridSpan w:val="2"/>
            <w:tcBorders>
              <w:top w:val="nil"/>
              <w:left w:val="nil"/>
              <w:bottom w:val="nil"/>
              <w:right w:val="nil"/>
            </w:tcBorders>
          </w:tcPr>
          <w:p w:rsidR="008E78E5" w:rsidRPr="004C22D0" w:rsidRDefault="008E78E5" w:rsidP="00C17025">
            <w:pPr>
              <w:pStyle w:val="SigningLine"/>
              <w:keepNext/>
              <w:keepLines/>
              <w:widowControl/>
              <w:rPr>
                <w:rFonts w:ascii="Franklin Gothic Book" w:hAnsi="Franklin Gothic Book"/>
                <w:lang w:val="fr-CA"/>
              </w:rPr>
            </w:pPr>
          </w:p>
        </w:tc>
        <w:tc>
          <w:tcPr>
            <w:tcW w:w="720" w:type="dxa"/>
            <w:vMerge w:val="restart"/>
            <w:tcBorders>
              <w:top w:val="nil"/>
              <w:left w:val="nil"/>
              <w:bottom w:val="nil"/>
              <w:right w:val="nil"/>
            </w:tcBorders>
          </w:tcPr>
          <w:p w:rsidR="008E78E5" w:rsidRPr="004C22D0" w:rsidRDefault="008E78E5" w:rsidP="00C17025">
            <w:pPr>
              <w:pStyle w:val="SigningLine"/>
              <w:keepNext/>
              <w:keepLines/>
              <w:widowControl/>
              <w:jc w:val="center"/>
              <w:rPr>
                <w:rFonts w:ascii="Franklin Gothic Book" w:hAnsi="Franklin Gothic Book"/>
                <w:lang w:val="fr-CA"/>
              </w:rPr>
            </w:pPr>
          </w:p>
        </w:tc>
        <w:tc>
          <w:tcPr>
            <w:tcW w:w="4950" w:type="dxa"/>
            <w:gridSpan w:val="2"/>
            <w:tcBorders>
              <w:top w:val="nil"/>
              <w:left w:val="nil"/>
              <w:right w:val="nil"/>
            </w:tcBorders>
          </w:tcPr>
          <w:p w:rsidR="008E78E5" w:rsidRPr="004C22D0" w:rsidRDefault="00334EBD" w:rsidP="00D44BB9">
            <w:pPr>
              <w:pStyle w:val="SigningLine"/>
              <w:keepNext/>
              <w:keepLines/>
              <w:widowControl/>
              <w:spacing w:after="240"/>
              <w:rPr>
                <w:rFonts w:ascii="Franklin Gothic Book" w:hAnsi="Franklin Gothic Book"/>
                <w:lang w:val="fr-CA"/>
              </w:rPr>
            </w:pPr>
            <w:r w:rsidRPr="00D44BB9">
              <w:rPr>
                <w:rFonts w:ascii="Franklin Gothic Book" w:hAnsi="Franklin Gothic Book"/>
                <w:lang w:val="fr-CA"/>
              </w:rPr>
              <w:t>[</w:t>
            </w:r>
            <w:r w:rsidR="00005B58" w:rsidRPr="00D44BB9">
              <w:rPr>
                <w:rFonts w:ascii="Franklin Gothic Book" w:hAnsi="Franklin Gothic Book"/>
                <w:lang w:val="fr-CA"/>
              </w:rPr>
              <w:t>NOM DU SÉQUESTRE</w:t>
            </w:r>
            <w:r w:rsidRPr="00D44BB9">
              <w:rPr>
                <w:rFonts w:ascii="Franklin Gothic Book" w:hAnsi="Franklin Gothic Book"/>
                <w:lang w:val="fr-CA"/>
              </w:rPr>
              <w:t xml:space="preserve">], </w:t>
            </w:r>
            <w:r w:rsidR="00005B58" w:rsidRPr="00D44BB9">
              <w:rPr>
                <w:rFonts w:ascii="Franklin Gothic Book" w:hAnsi="Franklin Gothic Book"/>
                <w:lang w:val="fr-CA"/>
              </w:rPr>
              <w:t>uniquement en sa qualité de séquestre des biens et non en s</w:t>
            </w:r>
            <w:r w:rsidR="00BD0B01" w:rsidRPr="00D44BB9">
              <w:rPr>
                <w:rFonts w:ascii="Franklin Gothic Book" w:hAnsi="Franklin Gothic Book"/>
                <w:lang w:val="fr-CA"/>
              </w:rPr>
              <w:t xml:space="preserve">a qualité </w:t>
            </w:r>
            <w:r w:rsidR="00005B58" w:rsidRPr="00D44BB9">
              <w:rPr>
                <w:rFonts w:ascii="Franklin Gothic Book" w:hAnsi="Franklin Gothic Book"/>
                <w:lang w:val="fr-CA"/>
              </w:rPr>
              <w:t>personne</w:t>
            </w:r>
            <w:r w:rsidR="00BD0B01" w:rsidRPr="00D44BB9">
              <w:rPr>
                <w:rFonts w:ascii="Franklin Gothic Book" w:hAnsi="Franklin Gothic Book"/>
                <w:lang w:val="fr-CA"/>
              </w:rPr>
              <w:t>lle</w:t>
            </w:r>
            <w:r w:rsidR="00005B58" w:rsidRPr="00D44BB9">
              <w:rPr>
                <w:rFonts w:ascii="Franklin Gothic Book" w:hAnsi="Franklin Gothic Book"/>
                <w:lang w:val="fr-CA"/>
              </w:rPr>
              <w:t xml:space="preserve"> </w:t>
            </w:r>
            <w:r w:rsidR="008E78E5" w:rsidRPr="004C22D0">
              <w:rPr>
                <w:rFonts w:ascii="Franklin Gothic Book" w:hAnsi="Franklin Gothic Book"/>
                <w:lang w:val="fr-CA"/>
              </w:rPr>
              <w:br/>
            </w:r>
          </w:p>
        </w:tc>
      </w:tr>
      <w:tr w:rsidR="008E78E5" w:rsidRPr="004C22D0" w:rsidTr="00740595">
        <w:tc>
          <w:tcPr>
            <w:tcW w:w="738" w:type="dxa"/>
            <w:tcBorders>
              <w:top w:val="nil"/>
              <w:left w:val="nil"/>
              <w:bottom w:val="nil"/>
              <w:right w:val="nil"/>
            </w:tcBorders>
          </w:tcPr>
          <w:p w:rsidR="008E78E5" w:rsidRPr="004C22D0" w:rsidRDefault="008E78E5" w:rsidP="00C17025">
            <w:pPr>
              <w:pStyle w:val="SigningLine"/>
              <w:keepNext/>
              <w:keepLines/>
              <w:widowControl/>
              <w:rPr>
                <w:rFonts w:ascii="Franklin Gothic Book" w:hAnsi="Franklin Gothic Book"/>
                <w:b/>
                <w:caps/>
                <w:lang w:val="fr-CA"/>
              </w:rPr>
            </w:pPr>
          </w:p>
        </w:tc>
        <w:tc>
          <w:tcPr>
            <w:tcW w:w="3150" w:type="dxa"/>
            <w:tcBorders>
              <w:top w:val="nil"/>
              <w:left w:val="nil"/>
              <w:bottom w:val="nil"/>
              <w:right w:val="nil"/>
            </w:tcBorders>
          </w:tcPr>
          <w:p w:rsidR="008E78E5" w:rsidRPr="004C22D0" w:rsidRDefault="008E78E5" w:rsidP="00C17025">
            <w:pPr>
              <w:pStyle w:val="SigningLine"/>
              <w:keepNext/>
              <w:keepLines/>
              <w:widowControl/>
              <w:rPr>
                <w:rFonts w:ascii="Franklin Gothic Book" w:hAnsi="Franklin Gothic Book"/>
                <w:lang w:val="fr-CA"/>
              </w:rPr>
            </w:pPr>
          </w:p>
        </w:tc>
        <w:tc>
          <w:tcPr>
            <w:tcW w:w="720" w:type="dxa"/>
            <w:vMerge/>
            <w:tcBorders>
              <w:top w:val="nil"/>
              <w:left w:val="nil"/>
              <w:bottom w:val="nil"/>
              <w:right w:val="nil"/>
            </w:tcBorders>
          </w:tcPr>
          <w:p w:rsidR="008E78E5" w:rsidRPr="004C22D0" w:rsidRDefault="008E78E5" w:rsidP="00C17025">
            <w:pPr>
              <w:pStyle w:val="SigningLine"/>
              <w:keepNext/>
              <w:keepLines/>
              <w:widowControl/>
              <w:rPr>
                <w:rFonts w:ascii="Franklin Gothic Book" w:hAnsi="Franklin Gothic Book"/>
                <w:lang w:val="fr-CA"/>
              </w:rPr>
            </w:pPr>
          </w:p>
        </w:tc>
        <w:tc>
          <w:tcPr>
            <w:tcW w:w="720" w:type="dxa"/>
            <w:tcBorders>
              <w:top w:val="nil"/>
              <w:left w:val="nil"/>
              <w:bottom w:val="nil"/>
              <w:right w:val="nil"/>
            </w:tcBorders>
          </w:tcPr>
          <w:p w:rsidR="00334EBD" w:rsidRPr="004C22D0" w:rsidRDefault="00334EBD" w:rsidP="00D44BB9">
            <w:pPr>
              <w:pStyle w:val="SigningLine"/>
              <w:keepNext/>
              <w:keepLines/>
              <w:widowControl/>
              <w:rPr>
                <w:rFonts w:ascii="Franklin Gothic Book" w:hAnsi="Franklin Gothic Book"/>
                <w:lang w:val="fr-CA"/>
              </w:rPr>
            </w:pPr>
            <w:r w:rsidRPr="00D44BB9">
              <w:rPr>
                <w:rFonts w:ascii="Franklin Gothic Book" w:hAnsi="Franklin Gothic Book"/>
                <w:lang w:val="fr-CA"/>
              </w:rPr>
              <w:t>Par</w:t>
            </w:r>
          </w:p>
        </w:tc>
        <w:tc>
          <w:tcPr>
            <w:tcW w:w="4230" w:type="dxa"/>
            <w:tcBorders>
              <w:top w:val="nil"/>
              <w:left w:val="nil"/>
              <w:bottom w:val="single" w:sz="4" w:space="0" w:color="000000"/>
              <w:right w:val="nil"/>
            </w:tcBorders>
          </w:tcPr>
          <w:p w:rsidR="008E78E5" w:rsidRPr="004C22D0" w:rsidRDefault="008E78E5" w:rsidP="00C17025">
            <w:pPr>
              <w:pStyle w:val="SigningLine"/>
              <w:keepNext/>
              <w:keepLines/>
              <w:widowControl/>
              <w:rPr>
                <w:rFonts w:ascii="Franklin Gothic Book" w:hAnsi="Franklin Gothic Book"/>
                <w:lang w:val="fr-CA"/>
              </w:rPr>
            </w:pPr>
          </w:p>
        </w:tc>
      </w:tr>
      <w:tr w:rsidR="008E78E5" w:rsidRPr="004C22D0" w:rsidTr="00740595">
        <w:tc>
          <w:tcPr>
            <w:tcW w:w="738" w:type="dxa"/>
            <w:tcBorders>
              <w:top w:val="nil"/>
              <w:left w:val="nil"/>
              <w:bottom w:val="nil"/>
              <w:right w:val="nil"/>
            </w:tcBorders>
          </w:tcPr>
          <w:p w:rsidR="008E78E5" w:rsidRPr="004C22D0" w:rsidRDefault="008E78E5" w:rsidP="00C17025">
            <w:pPr>
              <w:pStyle w:val="SigningLine"/>
              <w:keepLines/>
              <w:widowControl/>
              <w:rPr>
                <w:rFonts w:ascii="Franklin Gothic Book" w:hAnsi="Franklin Gothic Book"/>
                <w:lang w:val="fr-CA"/>
              </w:rPr>
            </w:pPr>
          </w:p>
        </w:tc>
        <w:tc>
          <w:tcPr>
            <w:tcW w:w="3150" w:type="dxa"/>
            <w:tcBorders>
              <w:top w:val="nil"/>
              <w:left w:val="nil"/>
              <w:bottom w:val="nil"/>
              <w:right w:val="nil"/>
            </w:tcBorders>
          </w:tcPr>
          <w:p w:rsidR="008E78E5" w:rsidRPr="004C22D0" w:rsidRDefault="008E78E5" w:rsidP="00C17025">
            <w:pPr>
              <w:pStyle w:val="SigningLine"/>
              <w:keepLines/>
              <w:widowControl/>
              <w:rPr>
                <w:rFonts w:ascii="Franklin Gothic Book" w:hAnsi="Franklin Gothic Book"/>
                <w:lang w:val="fr-CA"/>
              </w:rPr>
            </w:pPr>
          </w:p>
        </w:tc>
        <w:tc>
          <w:tcPr>
            <w:tcW w:w="720" w:type="dxa"/>
            <w:vMerge/>
            <w:tcBorders>
              <w:top w:val="nil"/>
              <w:left w:val="nil"/>
              <w:bottom w:val="nil"/>
              <w:right w:val="nil"/>
            </w:tcBorders>
          </w:tcPr>
          <w:p w:rsidR="008E78E5" w:rsidRPr="004C22D0" w:rsidRDefault="008E78E5" w:rsidP="00C17025">
            <w:pPr>
              <w:pStyle w:val="SigningLine"/>
              <w:keepLines/>
              <w:widowControl/>
              <w:rPr>
                <w:rFonts w:ascii="Franklin Gothic Book" w:hAnsi="Franklin Gothic Book"/>
                <w:lang w:val="fr-CA"/>
              </w:rPr>
            </w:pPr>
          </w:p>
        </w:tc>
        <w:tc>
          <w:tcPr>
            <w:tcW w:w="720" w:type="dxa"/>
            <w:tcBorders>
              <w:top w:val="nil"/>
              <w:left w:val="nil"/>
              <w:bottom w:val="nil"/>
              <w:right w:val="nil"/>
            </w:tcBorders>
          </w:tcPr>
          <w:p w:rsidR="008E78E5" w:rsidRPr="004C22D0" w:rsidRDefault="008E78E5" w:rsidP="00C17025">
            <w:pPr>
              <w:pStyle w:val="SigningLine"/>
              <w:keepLines/>
              <w:widowControl/>
              <w:rPr>
                <w:rFonts w:ascii="Franklin Gothic Book" w:hAnsi="Franklin Gothic Book"/>
                <w:lang w:val="fr-CA"/>
              </w:rPr>
            </w:pPr>
          </w:p>
        </w:tc>
        <w:tc>
          <w:tcPr>
            <w:tcW w:w="4230" w:type="dxa"/>
            <w:tcBorders>
              <w:top w:val="nil"/>
              <w:left w:val="nil"/>
              <w:bottom w:val="nil"/>
              <w:right w:val="nil"/>
            </w:tcBorders>
          </w:tcPr>
          <w:p w:rsidR="00334EBD" w:rsidRPr="004C22D0" w:rsidRDefault="00334EBD" w:rsidP="00D44BB9">
            <w:pPr>
              <w:pStyle w:val="SigningLine"/>
              <w:keepLines/>
              <w:widowControl/>
              <w:rPr>
                <w:rFonts w:ascii="Franklin Gothic Book" w:hAnsi="Franklin Gothic Book"/>
                <w:lang w:val="fr-CA"/>
              </w:rPr>
            </w:pPr>
            <w:r w:rsidRPr="00D44BB9">
              <w:rPr>
                <w:rFonts w:ascii="Franklin Gothic Book" w:hAnsi="Franklin Gothic Book"/>
                <w:lang w:val="fr-CA"/>
              </w:rPr>
              <w:t>Nom</w:t>
            </w:r>
          </w:p>
        </w:tc>
      </w:tr>
      <w:tr w:rsidR="008E78E5" w:rsidRPr="004C22D0" w:rsidTr="00740595">
        <w:tc>
          <w:tcPr>
            <w:tcW w:w="738" w:type="dxa"/>
            <w:tcBorders>
              <w:top w:val="nil"/>
              <w:left w:val="nil"/>
              <w:bottom w:val="nil"/>
              <w:right w:val="nil"/>
            </w:tcBorders>
          </w:tcPr>
          <w:p w:rsidR="008E78E5" w:rsidRPr="004C22D0" w:rsidRDefault="008E78E5" w:rsidP="00C17025">
            <w:pPr>
              <w:pStyle w:val="SigningLine"/>
              <w:keepLines/>
              <w:widowControl/>
              <w:rPr>
                <w:rFonts w:ascii="Franklin Gothic Book" w:hAnsi="Franklin Gothic Book"/>
                <w:color w:val="0000FF"/>
                <w:lang w:val="fr-CA"/>
              </w:rPr>
            </w:pPr>
          </w:p>
        </w:tc>
        <w:tc>
          <w:tcPr>
            <w:tcW w:w="3150" w:type="dxa"/>
            <w:tcBorders>
              <w:top w:val="nil"/>
              <w:left w:val="nil"/>
              <w:bottom w:val="nil"/>
              <w:right w:val="nil"/>
            </w:tcBorders>
          </w:tcPr>
          <w:p w:rsidR="008E78E5" w:rsidRPr="004C22D0" w:rsidRDefault="008E78E5" w:rsidP="00C17025">
            <w:pPr>
              <w:pStyle w:val="SigningLine"/>
              <w:keepLines/>
              <w:widowControl/>
              <w:rPr>
                <w:rFonts w:ascii="Franklin Gothic Book" w:hAnsi="Franklin Gothic Book"/>
                <w:lang w:val="fr-CA"/>
              </w:rPr>
            </w:pPr>
          </w:p>
        </w:tc>
        <w:tc>
          <w:tcPr>
            <w:tcW w:w="720" w:type="dxa"/>
            <w:vMerge/>
            <w:tcBorders>
              <w:top w:val="nil"/>
              <w:left w:val="nil"/>
              <w:bottom w:val="nil"/>
              <w:right w:val="nil"/>
            </w:tcBorders>
          </w:tcPr>
          <w:p w:rsidR="008E78E5" w:rsidRPr="004C22D0" w:rsidRDefault="008E78E5" w:rsidP="00C17025">
            <w:pPr>
              <w:pStyle w:val="SigningLine"/>
              <w:keepLines/>
              <w:widowControl/>
              <w:rPr>
                <w:rFonts w:ascii="Franklin Gothic Book" w:hAnsi="Franklin Gothic Book"/>
                <w:lang w:val="fr-CA"/>
              </w:rPr>
            </w:pPr>
          </w:p>
        </w:tc>
        <w:tc>
          <w:tcPr>
            <w:tcW w:w="720" w:type="dxa"/>
            <w:tcBorders>
              <w:top w:val="nil"/>
              <w:left w:val="nil"/>
              <w:bottom w:val="nil"/>
              <w:right w:val="nil"/>
            </w:tcBorders>
          </w:tcPr>
          <w:p w:rsidR="008E78E5" w:rsidRPr="004C22D0" w:rsidRDefault="008E78E5" w:rsidP="00C17025">
            <w:pPr>
              <w:pStyle w:val="SigningLine"/>
              <w:keepLines/>
              <w:widowControl/>
              <w:rPr>
                <w:rFonts w:ascii="Franklin Gothic Book" w:hAnsi="Franklin Gothic Book"/>
                <w:lang w:val="fr-CA"/>
              </w:rPr>
            </w:pPr>
          </w:p>
        </w:tc>
        <w:tc>
          <w:tcPr>
            <w:tcW w:w="4230" w:type="dxa"/>
            <w:tcBorders>
              <w:top w:val="nil"/>
              <w:left w:val="nil"/>
              <w:bottom w:val="nil"/>
              <w:right w:val="nil"/>
            </w:tcBorders>
          </w:tcPr>
          <w:p w:rsidR="008E78E5" w:rsidRPr="004C22D0" w:rsidRDefault="00334EBD" w:rsidP="00D44BB9">
            <w:pPr>
              <w:pStyle w:val="SigningLine"/>
              <w:keepLines/>
              <w:widowControl/>
              <w:rPr>
                <w:rFonts w:ascii="Franklin Gothic Book" w:hAnsi="Franklin Gothic Book"/>
                <w:lang w:val="fr-CA"/>
              </w:rPr>
            </w:pPr>
            <w:r w:rsidRPr="00D44BB9">
              <w:rPr>
                <w:rFonts w:ascii="Franklin Gothic Book" w:hAnsi="Franklin Gothic Book"/>
                <w:lang w:val="fr-CA"/>
              </w:rPr>
              <w:t>Titre</w:t>
            </w:r>
          </w:p>
        </w:tc>
      </w:tr>
    </w:tbl>
    <w:p w:rsidR="008E78E5" w:rsidRPr="004C22D0" w:rsidRDefault="008E78E5" w:rsidP="00C17025">
      <w:pPr>
        <w:widowControl/>
        <w:rPr>
          <w:rFonts w:ascii="Franklin Gothic Book" w:hAnsi="Franklin Gothic Book"/>
          <w:lang w:val="fr-CA"/>
        </w:rPr>
      </w:pPr>
    </w:p>
    <w:sectPr w:rsidR="008E78E5" w:rsidRPr="004C22D0" w:rsidSect="008A22AB">
      <w:headerReference w:type="default" r:id="rId9"/>
      <w:footerReference w:type="default" r:id="rId10"/>
      <w:headerReference w:type="first" r:id="rId11"/>
      <w:pgSz w:w="12240" w:h="15840"/>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3168" w:rsidRDefault="00DD3168" w:rsidP="005D6B9E">
      <w:pPr>
        <w:widowControl/>
        <w:spacing w:after="0"/>
      </w:pPr>
      <w:r>
        <w:separator/>
      </w:r>
    </w:p>
  </w:endnote>
  <w:endnote w:type="continuationSeparator" w:id="0">
    <w:p w:rsidR="00DD3168" w:rsidRDefault="00DD3168" w:rsidP="005D6B9E">
      <w:pPr>
        <w:widowControl/>
        <w:spacing w:after="0"/>
      </w:pPr>
      <w:r>
        <w:continuationSeparator/>
      </w:r>
    </w:p>
  </w:endnote>
  <w:endnote w:type="continuationNotice" w:id="1">
    <w:p w:rsidR="00DD3168" w:rsidRDefault="00DD3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39D" w:rsidRPr="003A239D" w:rsidRDefault="00297E25">
    <w:pPr>
      <w:pStyle w:val="Footer"/>
      <w:jc w:val="center"/>
      <w:rPr>
        <w:rFonts w:ascii="Franklin Gothic Book" w:hAnsi="Franklin Gothic Book"/>
      </w:rPr>
    </w:pPr>
    <w:r w:rsidRPr="003A239D">
      <w:rPr>
        <w:rFonts w:ascii="Franklin Gothic Book" w:hAnsi="Franklin Gothic Book"/>
      </w:rPr>
      <w:fldChar w:fldCharType="begin"/>
    </w:r>
    <w:r w:rsidR="003A239D" w:rsidRPr="003A239D">
      <w:rPr>
        <w:rFonts w:ascii="Franklin Gothic Book" w:hAnsi="Franklin Gothic Book"/>
      </w:rPr>
      <w:instrText xml:space="preserve"> PAGE   \* MERGEFORMAT </w:instrText>
    </w:r>
    <w:r w:rsidRPr="003A239D">
      <w:rPr>
        <w:rFonts w:ascii="Franklin Gothic Book" w:hAnsi="Franklin Gothic Book"/>
      </w:rPr>
      <w:fldChar w:fldCharType="separate"/>
    </w:r>
    <w:r w:rsidR="00516DEC">
      <w:rPr>
        <w:rFonts w:ascii="Franklin Gothic Book" w:hAnsi="Franklin Gothic Book"/>
        <w:noProof/>
      </w:rPr>
      <w:t>21</w:t>
    </w:r>
    <w:r w:rsidRPr="003A239D">
      <w:rPr>
        <w:rFonts w:ascii="Franklin Gothic Book" w:hAnsi="Franklin Gothic Book"/>
      </w:rPr>
      <w:fldChar w:fldCharType="end"/>
    </w:r>
  </w:p>
  <w:p w:rsidR="008E78E5" w:rsidRPr="008A22AB" w:rsidRDefault="008E78E5" w:rsidP="008A22AB">
    <w:pPr>
      <w:widowControl/>
      <w:spacing w:after="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3168" w:rsidRDefault="00DD3168" w:rsidP="005D6B9E">
      <w:pPr>
        <w:widowControl/>
        <w:spacing w:after="0"/>
      </w:pPr>
      <w:r>
        <w:separator/>
      </w:r>
    </w:p>
  </w:footnote>
  <w:footnote w:type="continuationSeparator" w:id="0">
    <w:p w:rsidR="00DD3168" w:rsidRDefault="00DD3168" w:rsidP="005D6B9E">
      <w:pPr>
        <w:widowControl/>
        <w:spacing w:after="0"/>
      </w:pPr>
      <w:r>
        <w:continuationSeparator/>
      </w:r>
    </w:p>
  </w:footnote>
  <w:footnote w:type="continuationNotice" w:id="1">
    <w:p w:rsidR="00DD3168" w:rsidRDefault="00DD3168">
      <w:pPr>
        <w:spacing w:after="0"/>
      </w:pPr>
    </w:p>
  </w:footnote>
  <w:footnote w:id="2">
    <w:p w:rsidR="00334EBD" w:rsidRPr="000223C8" w:rsidRDefault="00334EBD" w:rsidP="00334EBD">
      <w:pPr>
        <w:pStyle w:val="FootnoteText"/>
        <w:rPr>
          <w:lang w:val="fr-CA"/>
        </w:rPr>
      </w:pPr>
      <w:r>
        <w:rPr>
          <w:rStyle w:val="FootnoteReference"/>
        </w:rPr>
        <w:footnoteRef/>
      </w:r>
      <w:r w:rsidR="004C22D0" w:rsidRPr="00D44BB9">
        <w:rPr>
          <w:lang w:val="fr-CA"/>
        </w:rPr>
        <w:t>Le paragraphe </w:t>
      </w:r>
      <w:r w:rsidRPr="00D44BB9">
        <w:rPr>
          <w:lang w:val="fr-CA"/>
        </w:rPr>
        <w:t xml:space="preserve">243(1) </w:t>
      </w:r>
      <w:r w:rsidR="004C22D0" w:rsidRPr="00D44BB9">
        <w:rPr>
          <w:lang w:val="fr-CA"/>
        </w:rPr>
        <w:t xml:space="preserve">de la </w:t>
      </w:r>
      <w:r w:rsidR="004C22D0" w:rsidRPr="00D44BB9">
        <w:rPr>
          <w:i/>
          <w:lang w:val="fr-CA"/>
        </w:rPr>
        <w:t xml:space="preserve">Loi sur la faillite et l’insolvabilité </w:t>
      </w:r>
      <w:r w:rsidR="004C22D0" w:rsidRPr="00D44BB9">
        <w:rPr>
          <w:lang w:val="fr-CA"/>
        </w:rPr>
        <w:t>prévoit que le tribunal peut nommer un séquestre, « sur demande d’un créancier garanti »</w:t>
      </w:r>
      <w:r w:rsidRPr="00D44BB9">
        <w:rPr>
          <w:lang w:val="fr-CA"/>
        </w:rPr>
        <w:t>.</w:t>
      </w:r>
    </w:p>
  </w:footnote>
  <w:footnote w:id="3">
    <w:p w:rsidR="00334EBD" w:rsidRPr="000223C8" w:rsidRDefault="00334EBD" w:rsidP="00334EBD">
      <w:pPr>
        <w:pStyle w:val="FootnoteText"/>
        <w:rPr>
          <w:lang w:val="fr-CA"/>
        </w:rPr>
      </w:pPr>
      <w:r>
        <w:rPr>
          <w:rStyle w:val="FootnoteReference"/>
        </w:rPr>
        <w:footnoteRef/>
      </w:r>
      <w:r w:rsidR="004C22D0" w:rsidRPr="00D44BB9">
        <w:rPr>
          <w:lang w:val="fr-CA"/>
        </w:rPr>
        <w:t>Si la mise sous séquestre ne vise pas tous les actifs d</w:t>
      </w:r>
      <w:r w:rsidR="00164B36" w:rsidRPr="00D44BB9">
        <w:rPr>
          <w:lang w:val="fr-CA"/>
        </w:rPr>
        <w:t>e l’intimé</w:t>
      </w:r>
      <w:r w:rsidR="004C22D0" w:rsidRPr="00D44BB9">
        <w:rPr>
          <w:lang w:val="fr-CA"/>
        </w:rPr>
        <w:t xml:space="preserve">, il faut supprimer la référence à « tous les actifs » et définir ou </w:t>
      </w:r>
      <w:r w:rsidR="00005B58" w:rsidRPr="00D44BB9">
        <w:rPr>
          <w:lang w:val="fr-CA"/>
        </w:rPr>
        <w:t>décrire</w:t>
      </w:r>
      <w:r w:rsidR="004C22D0" w:rsidRPr="00D44BB9">
        <w:rPr>
          <w:lang w:val="fr-CA"/>
        </w:rPr>
        <w:t xml:space="preserve"> les actifs précis </w:t>
      </w:r>
      <w:r w:rsidR="00F24BEC" w:rsidRPr="00D44BB9">
        <w:rPr>
          <w:lang w:val="fr-CA"/>
        </w:rPr>
        <w:t>sous mandat</w:t>
      </w:r>
      <w:r w:rsidR="004C22D0" w:rsidRPr="00D44BB9">
        <w:rPr>
          <w:lang w:val="fr-CA"/>
        </w:rPr>
        <w:t>, peut-être en annexe</w:t>
      </w:r>
      <w:r w:rsidRPr="00D44BB9">
        <w:rPr>
          <w:lang w:val="fr-CA"/>
        </w:rPr>
        <w:t>.</w:t>
      </w:r>
    </w:p>
  </w:footnote>
  <w:footnote w:id="4">
    <w:p w:rsidR="00334EBD" w:rsidRPr="000223C8" w:rsidRDefault="00334EBD" w:rsidP="00334EBD">
      <w:pPr>
        <w:pStyle w:val="FootnoteText"/>
        <w:rPr>
          <w:lang w:val="fr-CA"/>
        </w:rPr>
      </w:pPr>
      <w:r>
        <w:rPr>
          <w:rStyle w:val="FootnoteReference"/>
        </w:rPr>
        <w:footnoteRef/>
      </w:r>
      <w:r w:rsidR="00005B58" w:rsidRPr="00D44BB9">
        <w:rPr>
          <w:lang w:val="fr-CA"/>
        </w:rPr>
        <w:t xml:space="preserve">Si la signification est effectuée </w:t>
      </w:r>
      <w:r w:rsidR="00F24BEC" w:rsidRPr="00D44BB9">
        <w:rPr>
          <w:lang w:val="fr-CA"/>
        </w:rPr>
        <w:t xml:space="preserve">autrement que de la </w:t>
      </w:r>
      <w:r w:rsidR="00005B58" w:rsidRPr="00D44BB9">
        <w:rPr>
          <w:lang w:val="fr-CA"/>
        </w:rPr>
        <w:t xml:space="preserve">manière autorisée par les </w:t>
      </w:r>
      <w:r w:rsidR="00005B58" w:rsidRPr="00D44BB9">
        <w:rPr>
          <w:i/>
          <w:lang w:val="fr-CA"/>
        </w:rPr>
        <w:t>Règles de procédures</w:t>
      </w:r>
      <w:r w:rsidR="00005B58" w:rsidRPr="00D44BB9">
        <w:rPr>
          <w:lang w:val="fr-CA"/>
        </w:rPr>
        <w:t xml:space="preserve"> du Nouveau-Brunswick dans les circonstances appropriées</w:t>
      </w:r>
      <w:r w:rsidRPr="00D44BB9">
        <w:rPr>
          <w:lang w:val="fr-CA"/>
        </w:rPr>
        <w:t>.</w:t>
      </w:r>
    </w:p>
  </w:footnote>
  <w:footnote w:id="5">
    <w:p w:rsidR="00334EBD" w:rsidRPr="000223C8" w:rsidRDefault="00334EBD" w:rsidP="00334EBD">
      <w:pPr>
        <w:rPr>
          <w:lang w:val="fr-CA"/>
        </w:rPr>
      </w:pPr>
      <w:r>
        <w:rPr>
          <w:rStyle w:val="FootnoteReference"/>
        </w:rPr>
        <w:footnoteRef/>
      </w:r>
      <w:r w:rsidR="00887B31" w:rsidRPr="00D44BB9">
        <w:rPr>
          <w:lang w:val="fr-CA"/>
        </w:rPr>
        <w:t>Notons que le paragraphe </w:t>
      </w:r>
      <w:r w:rsidRPr="00D44BB9">
        <w:rPr>
          <w:lang w:val="fr-CA"/>
        </w:rPr>
        <w:t xml:space="preserve">243(6) </w:t>
      </w:r>
      <w:r w:rsidR="00887B31" w:rsidRPr="00D44BB9">
        <w:rPr>
          <w:lang w:val="fr-CA"/>
        </w:rPr>
        <w:t xml:space="preserve">de la </w:t>
      </w:r>
      <w:r w:rsidR="00887B31" w:rsidRPr="00D44BB9">
        <w:rPr>
          <w:i/>
          <w:lang w:val="fr-CA"/>
        </w:rPr>
        <w:t xml:space="preserve">Loi sur la faillite et l’insolvabilité </w:t>
      </w:r>
      <w:r w:rsidR="00E43A31" w:rsidRPr="00D44BB9">
        <w:rPr>
          <w:lang w:val="fr-CA"/>
        </w:rPr>
        <w:t>précise</w:t>
      </w:r>
      <w:r w:rsidR="00887B31" w:rsidRPr="00D44BB9">
        <w:rPr>
          <w:lang w:val="fr-CA"/>
        </w:rPr>
        <w:t xml:space="preserve"> que le tribunal ne peut toutefois rendre une telle ordonnance que « s’il est convaincu que tous les créanciers garantis auxquels l’ordonnance pourrait sérieusement porter atteinte ont été avisés à cet égard suffisamment à l’avance et se sont vu accorder l’occasion de se faire entendre »</w:t>
      </w:r>
      <w:r w:rsidR="00E43A31" w:rsidRPr="00D44BB9">
        <w:rPr>
          <w:lang w:val="fr-CA"/>
        </w:rPr>
        <w:t>.</w:t>
      </w:r>
    </w:p>
  </w:footnote>
  <w:footnote w:id="6">
    <w:p w:rsidR="00334EBD" w:rsidRPr="000223C8" w:rsidRDefault="00334EBD" w:rsidP="00334EBD">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78E5" w:rsidRPr="008A22AB" w:rsidRDefault="008E78E5" w:rsidP="008A22AB">
    <w:pPr>
      <w:widowControl/>
      <w:spacing w:after="0"/>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EBD" w:rsidRDefault="00334EBD" w:rsidP="00F604E6">
    <w:pPr>
      <w:pStyle w:val="Header"/>
      <w:jc w:val="center"/>
    </w:pPr>
    <w:r w:rsidRPr="00D44BB9">
      <w:rPr>
        <w:lang w:val="fr-CA"/>
      </w:rPr>
      <w:t>ORD</w:t>
    </w:r>
    <w:r w:rsidR="00FE43AE" w:rsidRPr="00D44BB9">
      <w:rPr>
        <w:lang w:val="fr-CA"/>
      </w:rPr>
      <w:t>ONNANCE D</w:t>
    </w:r>
    <w:r w:rsidR="006243E7" w:rsidRPr="00D44BB9">
      <w:rPr>
        <w:lang w:val="fr-CA"/>
      </w:rPr>
      <w:t>E</w:t>
    </w:r>
    <w:r w:rsidR="00FE43AE" w:rsidRPr="00D44BB9">
      <w:rPr>
        <w:lang w:val="fr-CA"/>
      </w:rPr>
      <w:t xml:space="preserve"> SÉQUESTR</w:t>
    </w:r>
    <w:r w:rsidRPr="00D44BB9">
      <w:rPr>
        <w:lang w:val="fr-CA"/>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A03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5E3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8AC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004A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B22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2B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02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E7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E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CF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multilevel"/>
    <w:tmpl w:val="575022DE"/>
    <w:name w:val="ORGeneral"/>
    <w:lvl w:ilvl="0">
      <w:start w:val="1"/>
      <w:numFmt w:val="decimal"/>
      <w:lvlRestart w:val="0"/>
      <w:lvlText w:val="%1."/>
      <w:lvlJc w:val="left"/>
      <w:pPr>
        <w:widowControl w:val="0"/>
        <w:tabs>
          <w:tab w:val="num" w:pos="720"/>
        </w:tabs>
        <w:autoSpaceDE w:val="0"/>
        <w:autoSpaceDN w:val="0"/>
        <w:adjustRightInd w:val="0"/>
        <w:spacing w:after="240"/>
        <w:jc w:val="both"/>
      </w:pPr>
      <w:rPr>
        <w:rFonts w:ascii="Times New Roman" w:hAnsi="Times New Roman" w:cs="Times New Roman"/>
        <w:b w:val="0"/>
        <w:bCs w:val="0"/>
        <w:sz w:val="24"/>
        <w:szCs w:val="24"/>
      </w:rPr>
    </w:lvl>
    <w:lvl w:ilvl="1">
      <w:start w:val="1"/>
      <w:numFmt w:val="lowerLetter"/>
      <w:lvlText w:val="(%2)"/>
      <w:lvlJc w:val="left"/>
      <w:pPr>
        <w:widowControl w:val="0"/>
        <w:tabs>
          <w:tab w:val="num" w:pos="2138"/>
        </w:tabs>
        <w:autoSpaceDE w:val="0"/>
        <w:autoSpaceDN w:val="0"/>
        <w:adjustRightInd w:val="0"/>
        <w:spacing w:after="240"/>
        <w:ind w:left="2138" w:hanging="720"/>
        <w:jc w:val="both"/>
      </w:pPr>
      <w:rPr>
        <w:rFonts w:ascii="Times New Roman" w:hAnsi="Times New Roman" w:cs="Times New Roman"/>
        <w:sz w:val="24"/>
        <w:szCs w:val="24"/>
      </w:rPr>
    </w:lvl>
    <w:lvl w:ilvl="2">
      <w:start w:val="1"/>
      <w:numFmt w:val="lowerRoman"/>
      <w:lvlText w:val="(%3)"/>
      <w:lvlJc w:val="right"/>
      <w:pPr>
        <w:widowControl w:val="0"/>
        <w:tabs>
          <w:tab w:val="num" w:pos="2880"/>
        </w:tabs>
        <w:autoSpaceDE w:val="0"/>
        <w:autoSpaceDN w:val="0"/>
        <w:adjustRightInd w:val="0"/>
        <w:spacing w:after="240"/>
        <w:ind w:left="2880" w:hanging="432"/>
        <w:jc w:val="both"/>
      </w:pPr>
      <w:rPr>
        <w:rFonts w:ascii="Times New Roman" w:hAnsi="Times New Roman" w:cs="Times New Roman"/>
        <w:sz w:val="24"/>
        <w:szCs w:val="24"/>
      </w:rPr>
    </w:lvl>
    <w:lvl w:ilvl="3">
      <w:start w:val="1"/>
      <w:numFmt w:val="decimal"/>
      <w:pStyle w:val="ORGenL4"/>
      <w:lvlText w:val="(%4)"/>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4">
      <w:start w:val="1"/>
      <w:numFmt w:val="upperLetter"/>
      <w:pStyle w:val="ORGenL5"/>
      <w:lvlText w:val="(%5)"/>
      <w:lvlJc w:val="left"/>
      <w:pPr>
        <w:widowControl w:val="0"/>
        <w:tabs>
          <w:tab w:val="num" w:pos="4320"/>
        </w:tabs>
        <w:autoSpaceDE w:val="0"/>
        <w:autoSpaceDN w:val="0"/>
        <w:adjustRightInd w:val="0"/>
        <w:spacing w:after="240"/>
        <w:ind w:left="4320" w:hanging="720"/>
        <w:jc w:val="both"/>
      </w:pPr>
      <w:rPr>
        <w:rFonts w:ascii="Times New Roman" w:hAnsi="Times New Roman" w:cs="Times New Roman"/>
        <w:sz w:val="24"/>
        <w:szCs w:val="24"/>
      </w:rPr>
    </w:lvl>
    <w:lvl w:ilvl="5">
      <w:start w:val="1"/>
      <w:numFmt w:val="upperRoman"/>
      <w:pStyle w:val="ORGenL6"/>
      <w:lvlText w:val="(%6)"/>
      <w:lvlJc w:val="left"/>
      <w:pPr>
        <w:widowControl w:val="0"/>
        <w:tabs>
          <w:tab w:val="num" w:pos="5040"/>
        </w:tabs>
        <w:autoSpaceDE w:val="0"/>
        <w:autoSpaceDN w:val="0"/>
        <w:adjustRightInd w:val="0"/>
        <w:spacing w:after="240"/>
        <w:ind w:left="5040" w:hanging="720"/>
        <w:jc w:val="both"/>
      </w:pPr>
      <w:rPr>
        <w:rFonts w:ascii="Times New Roman" w:hAnsi="Times New Roman" w:cs="Times New Roman"/>
        <w:sz w:val="24"/>
        <w:szCs w:val="24"/>
      </w:rPr>
    </w:lvl>
    <w:lvl w:ilvl="6">
      <w:start w:val="1"/>
      <w:numFmt w:val="decimal"/>
      <w:pStyle w:val="ORGenL7"/>
      <w:lvlText w:val="%7)"/>
      <w:lvlJc w:val="left"/>
      <w:pPr>
        <w:widowControl w:val="0"/>
        <w:tabs>
          <w:tab w:val="num" w:pos="5760"/>
        </w:tabs>
        <w:autoSpaceDE w:val="0"/>
        <w:autoSpaceDN w:val="0"/>
        <w:adjustRightInd w:val="0"/>
        <w:spacing w:after="240"/>
        <w:ind w:left="5760" w:hanging="720"/>
        <w:jc w:val="both"/>
      </w:pPr>
      <w:rPr>
        <w:rFonts w:ascii="Times New Roman" w:hAnsi="Times New Roman" w:cs="Times New Roman"/>
        <w:sz w:val="24"/>
        <w:szCs w:val="24"/>
      </w:rPr>
    </w:lvl>
    <w:lvl w:ilvl="7">
      <w:start w:val="1"/>
      <w:numFmt w:val="lowerLetter"/>
      <w:pStyle w:val="ORGenL8"/>
      <w:lvlText w:val="%8)"/>
      <w:lvlJc w:val="left"/>
      <w:pPr>
        <w:widowControl w:val="0"/>
        <w:tabs>
          <w:tab w:val="num" w:pos="6480"/>
        </w:tabs>
        <w:autoSpaceDE w:val="0"/>
        <w:autoSpaceDN w:val="0"/>
        <w:adjustRightInd w:val="0"/>
        <w:spacing w:after="240"/>
        <w:ind w:left="6480" w:hanging="720"/>
        <w:jc w:val="both"/>
      </w:pPr>
      <w:rPr>
        <w:rFonts w:ascii="Times New Roman" w:hAnsi="Times New Roman" w:cs="Times New Roman"/>
        <w:sz w:val="24"/>
        <w:szCs w:val="24"/>
      </w:rPr>
    </w:lvl>
    <w:lvl w:ilvl="8">
      <w:start w:val="1"/>
      <w:numFmt w:val="lowerRoman"/>
      <w:pStyle w:val="ORGenL9"/>
      <w:lvlText w:val="%9)"/>
      <w:lvlJc w:val="left"/>
      <w:pPr>
        <w:widowControl w:val="0"/>
        <w:tabs>
          <w:tab w:val="num" w:pos="7200"/>
        </w:tabs>
        <w:autoSpaceDE w:val="0"/>
        <w:autoSpaceDN w:val="0"/>
        <w:adjustRightInd w:val="0"/>
        <w:spacing w:after="240"/>
        <w:ind w:left="7200" w:hanging="720"/>
        <w:jc w:val="both"/>
      </w:pPr>
      <w:rPr>
        <w:rFonts w:ascii="Times New Roman" w:hAnsi="Times New Roman" w:cs="Times New Roman"/>
        <w:sz w:val="24"/>
        <w:szCs w:val="24"/>
      </w:rPr>
    </w:lvl>
  </w:abstractNum>
  <w:abstractNum w:abstractNumId="11" w15:restartNumberingAfterBreak="0">
    <w:nsid w:val="00000010"/>
    <w:multiLevelType w:val="singleLevel"/>
    <w:tmpl w:val="345C1B18"/>
    <w:name w:val="OR BulletList"/>
    <w:lvl w:ilvl="0">
      <w:start w:val="1"/>
      <w:numFmt w:val="bullet"/>
      <w:lvlText w:val=""/>
      <w:lvlJc w:val="left"/>
      <w:pPr>
        <w:widowControl w:val="0"/>
        <w:tabs>
          <w:tab w:val="num" w:pos="1440"/>
        </w:tabs>
        <w:autoSpaceDE w:val="0"/>
        <w:autoSpaceDN w:val="0"/>
        <w:adjustRightInd w:val="0"/>
        <w:spacing w:after="240"/>
        <w:ind w:left="1440" w:hanging="720"/>
        <w:jc w:val="both"/>
      </w:pPr>
      <w:rPr>
        <w:rFonts w:ascii="Symbol" w:hAnsi="Symbol" w:cs="Symbol"/>
        <w:b w:val="0"/>
        <w:bCs w:val="0"/>
        <w:i w:val="0"/>
        <w:iCs w:val="0"/>
        <w:sz w:val="24"/>
        <w:szCs w:val="24"/>
      </w:rPr>
    </w:lvl>
  </w:abstractNum>
  <w:abstractNum w:abstractNumId="12" w15:restartNumberingAfterBreak="0">
    <w:nsid w:val="04A4361C"/>
    <w:multiLevelType w:val="hybridMultilevel"/>
    <w:tmpl w:val="E37481C8"/>
    <w:lvl w:ilvl="0" w:tplc="4C909D16">
      <w:start w:val="1"/>
      <w:numFmt w:val="decimal"/>
      <w:pStyle w:val="ORGenL1"/>
      <w:lvlText w:val="%1."/>
      <w:lvlJc w:val="left"/>
      <w:pPr>
        <w:ind w:left="12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953D6"/>
    <w:multiLevelType w:val="hybridMultilevel"/>
    <w:tmpl w:val="02D6094C"/>
    <w:lvl w:ilvl="0" w:tplc="E2988904">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3A9532F9"/>
    <w:multiLevelType w:val="hybridMultilevel"/>
    <w:tmpl w:val="59EC2F70"/>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40263F9D"/>
    <w:multiLevelType w:val="hybridMultilevel"/>
    <w:tmpl w:val="71C06E7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45D4241B"/>
    <w:multiLevelType w:val="multilevel"/>
    <w:tmpl w:val="CD1C60EC"/>
    <w:name w:val="AutoList12"/>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numFmt w:val="lowerRoman"/>
      <w:lvlText w:val="%9."/>
      <w:lvlJc w:val="left"/>
      <w:pPr>
        <w:ind w:left="3240" w:hanging="360"/>
      </w:pPr>
      <w:rPr>
        <w:rFonts w:cs="Times New Roman" w:hint="default"/>
      </w:rPr>
    </w:lvl>
  </w:abstractNum>
  <w:abstractNum w:abstractNumId="17" w15:restartNumberingAfterBreak="0">
    <w:nsid w:val="54CE3492"/>
    <w:multiLevelType w:val="multilevel"/>
    <w:tmpl w:val="575022DE"/>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880"/>
        </w:tabs>
        <w:ind w:left="2880" w:hanging="432"/>
      </w:pPr>
      <w:rPr>
        <w:rFonts w:hint="default"/>
      </w:rPr>
    </w:lvl>
    <w:lvl w:ilvl="3">
      <w:start w:val="1"/>
      <w:numFmt w:val="decimal"/>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upp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8" w15:restartNumberingAfterBreak="0">
    <w:nsid w:val="74CD2789"/>
    <w:multiLevelType w:val="singleLevel"/>
    <w:tmpl w:val="345C1B18"/>
    <w:lvl w:ilvl="0">
      <w:start w:val="1"/>
      <w:numFmt w:val="bullet"/>
      <w:lvlText w:val=""/>
      <w:lvlJc w:val="left"/>
      <w:pPr>
        <w:tabs>
          <w:tab w:val="num" w:pos="1440"/>
        </w:tabs>
        <w:ind w:left="1440" w:hanging="720"/>
      </w:pPr>
      <w:rPr>
        <w:rFonts w:ascii="Symbol" w:hAnsi="Symbol" w:hint="default"/>
        <w:b w:val="0"/>
        <w:i w:val="0"/>
        <w:sz w:val="24"/>
      </w:rPr>
    </w:lvl>
  </w:abstractNum>
  <w:abstractNum w:abstractNumId="19" w15:restartNumberingAfterBreak="0">
    <w:nsid w:val="75AC285D"/>
    <w:multiLevelType w:val="multilevel"/>
    <w:tmpl w:val="C5640144"/>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2160"/>
        </w:tabs>
        <w:ind w:left="2160" w:hanging="432"/>
      </w:pPr>
    </w:lvl>
    <w:lvl w:ilvl="3">
      <w:start w:val="1"/>
      <w:numFmt w:val="decimal"/>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79370324"/>
    <w:multiLevelType w:val="hybridMultilevel"/>
    <w:tmpl w:val="3F983400"/>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0"/>
  </w:num>
  <w:num w:numId="2">
    <w:abstractNumId w:val="12"/>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5"/>
  </w:num>
  <w:num w:numId="2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CB"/>
    <w:rsid w:val="00005B58"/>
    <w:rsid w:val="000179C9"/>
    <w:rsid w:val="000223C8"/>
    <w:rsid w:val="00036B47"/>
    <w:rsid w:val="00037741"/>
    <w:rsid w:val="00037F68"/>
    <w:rsid w:val="000424DD"/>
    <w:rsid w:val="00043C91"/>
    <w:rsid w:val="0005358F"/>
    <w:rsid w:val="000568F4"/>
    <w:rsid w:val="00062B05"/>
    <w:rsid w:val="00067EF8"/>
    <w:rsid w:val="0008367F"/>
    <w:rsid w:val="00084524"/>
    <w:rsid w:val="0009061C"/>
    <w:rsid w:val="000A0B5A"/>
    <w:rsid w:val="000A2353"/>
    <w:rsid w:val="000B428C"/>
    <w:rsid w:val="000B7FCC"/>
    <w:rsid w:val="000C1F02"/>
    <w:rsid w:val="000C41F4"/>
    <w:rsid w:val="000D58AE"/>
    <w:rsid w:val="000D5C10"/>
    <w:rsid w:val="000E2E3C"/>
    <w:rsid w:val="000F7391"/>
    <w:rsid w:val="00111897"/>
    <w:rsid w:val="00112558"/>
    <w:rsid w:val="001151BD"/>
    <w:rsid w:val="00131AB4"/>
    <w:rsid w:val="00137407"/>
    <w:rsid w:val="00141AE5"/>
    <w:rsid w:val="00142A18"/>
    <w:rsid w:val="0015182D"/>
    <w:rsid w:val="00164803"/>
    <w:rsid w:val="00164B36"/>
    <w:rsid w:val="00175EF5"/>
    <w:rsid w:val="001768F8"/>
    <w:rsid w:val="0018769B"/>
    <w:rsid w:val="0019043B"/>
    <w:rsid w:val="001A6F38"/>
    <w:rsid w:val="001B1580"/>
    <w:rsid w:val="001B583E"/>
    <w:rsid w:val="001B7AE2"/>
    <w:rsid w:val="001C7EE4"/>
    <w:rsid w:val="001D6AE2"/>
    <w:rsid w:val="001E7295"/>
    <w:rsid w:val="001F3B12"/>
    <w:rsid w:val="001F3B31"/>
    <w:rsid w:val="002108D3"/>
    <w:rsid w:val="00211222"/>
    <w:rsid w:val="00214CBE"/>
    <w:rsid w:val="00214DBF"/>
    <w:rsid w:val="00215023"/>
    <w:rsid w:val="002166C1"/>
    <w:rsid w:val="002214F0"/>
    <w:rsid w:val="00225230"/>
    <w:rsid w:val="0022616A"/>
    <w:rsid w:val="00251751"/>
    <w:rsid w:val="00264DFF"/>
    <w:rsid w:val="0028002B"/>
    <w:rsid w:val="0028592C"/>
    <w:rsid w:val="00285D14"/>
    <w:rsid w:val="00286A58"/>
    <w:rsid w:val="002974D0"/>
    <w:rsid w:val="00297E25"/>
    <w:rsid w:val="002A0CF8"/>
    <w:rsid w:val="002A7002"/>
    <w:rsid w:val="002B14CB"/>
    <w:rsid w:val="002B3436"/>
    <w:rsid w:val="002B54C4"/>
    <w:rsid w:val="002B6606"/>
    <w:rsid w:val="002C4A89"/>
    <w:rsid w:val="002D0039"/>
    <w:rsid w:val="002E04D8"/>
    <w:rsid w:val="002E1854"/>
    <w:rsid w:val="002E4E3D"/>
    <w:rsid w:val="00303D2B"/>
    <w:rsid w:val="00304367"/>
    <w:rsid w:val="00314070"/>
    <w:rsid w:val="0031553E"/>
    <w:rsid w:val="00325037"/>
    <w:rsid w:val="003261D2"/>
    <w:rsid w:val="003345B7"/>
    <w:rsid w:val="00334EBD"/>
    <w:rsid w:val="0033634D"/>
    <w:rsid w:val="00347873"/>
    <w:rsid w:val="003526B6"/>
    <w:rsid w:val="00352F93"/>
    <w:rsid w:val="00353CC2"/>
    <w:rsid w:val="003571BC"/>
    <w:rsid w:val="0036278A"/>
    <w:rsid w:val="00367F6C"/>
    <w:rsid w:val="00371757"/>
    <w:rsid w:val="003760AF"/>
    <w:rsid w:val="00383D70"/>
    <w:rsid w:val="00385CA4"/>
    <w:rsid w:val="003874F2"/>
    <w:rsid w:val="00387D93"/>
    <w:rsid w:val="003920E5"/>
    <w:rsid w:val="003922B9"/>
    <w:rsid w:val="00393C34"/>
    <w:rsid w:val="003A239D"/>
    <w:rsid w:val="003A3FF4"/>
    <w:rsid w:val="003A45BB"/>
    <w:rsid w:val="003B0F19"/>
    <w:rsid w:val="003B43F1"/>
    <w:rsid w:val="003C165F"/>
    <w:rsid w:val="003C17F0"/>
    <w:rsid w:val="003C407A"/>
    <w:rsid w:val="003D158C"/>
    <w:rsid w:val="003D3EC7"/>
    <w:rsid w:val="003D59D2"/>
    <w:rsid w:val="003E41FE"/>
    <w:rsid w:val="003E5240"/>
    <w:rsid w:val="003E58E1"/>
    <w:rsid w:val="003E5AD2"/>
    <w:rsid w:val="003F1B0D"/>
    <w:rsid w:val="00411445"/>
    <w:rsid w:val="00412F74"/>
    <w:rsid w:val="0042658A"/>
    <w:rsid w:val="00426AAC"/>
    <w:rsid w:val="00426F7C"/>
    <w:rsid w:val="00430E22"/>
    <w:rsid w:val="004366A8"/>
    <w:rsid w:val="004410BD"/>
    <w:rsid w:val="00454850"/>
    <w:rsid w:val="0046028B"/>
    <w:rsid w:val="00462173"/>
    <w:rsid w:val="00462D51"/>
    <w:rsid w:val="0046560B"/>
    <w:rsid w:val="00472AC0"/>
    <w:rsid w:val="00475B1E"/>
    <w:rsid w:val="004848C5"/>
    <w:rsid w:val="00486FF7"/>
    <w:rsid w:val="004A0A9D"/>
    <w:rsid w:val="004A2191"/>
    <w:rsid w:val="004A634C"/>
    <w:rsid w:val="004A711D"/>
    <w:rsid w:val="004B7443"/>
    <w:rsid w:val="004C0FDA"/>
    <w:rsid w:val="004C103A"/>
    <w:rsid w:val="004C22D0"/>
    <w:rsid w:val="004C5EDA"/>
    <w:rsid w:val="004D2124"/>
    <w:rsid w:val="004D4F6C"/>
    <w:rsid w:val="004E12FE"/>
    <w:rsid w:val="004E1874"/>
    <w:rsid w:val="00505A1A"/>
    <w:rsid w:val="0050729A"/>
    <w:rsid w:val="00516DEC"/>
    <w:rsid w:val="005233C0"/>
    <w:rsid w:val="00524896"/>
    <w:rsid w:val="00525DB6"/>
    <w:rsid w:val="005342B6"/>
    <w:rsid w:val="00536B95"/>
    <w:rsid w:val="00542EC3"/>
    <w:rsid w:val="00547D8B"/>
    <w:rsid w:val="005565EB"/>
    <w:rsid w:val="00560667"/>
    <w:rsid w:val="00561B1C"/>
    <w:rsid w:val="00565865"/>
    <w:rsid w:val="005670AD"/>
    <w:rsid w:val="005712C0"/>
    <w:rsid w:val="00573C9F"/>
    <w:rsid w:val="00582F1B"/>
    <w:rsid w:val="0058554E"/>
    <w:rsid w:val="00590323"/>
    <w:rsid w:val="0059717B"/>
    <w:rsid w:val="00597546"/>
    <w:rsid w:val="0059793D"/>
    <w:rsid w:val="005A3E58"/>
    <w:rsid w:val="005A5592"/>
    <w:rsid w:val="005B2E0E"/>
    <w:rsid w:val="005C7EA8"/>
    <w:rsid w:val="005D6A82"/>
    <w:rsid w:val="005D6B9E"/>
    <w:rsid w:val="005E0E48"/>
    <w:rsid w:val="005E1F7C"/>
    <w:rsid w:val="005E58E7"/>
    <w:rsid w:val="005E76FB"/>
    <w:rsid w:val="005F21F0"/>
    <w:rsid w:val="005F36C8"/>
    <w:rsid w:val="005F4694"/>
    <w:rsid w:val="005F6523"/>
    <w:rsid w:val="005F703C"/>
    <w:rsid w:val="0061147C"/>
    <w:rsid w:val="00620C2B"/>
    <w:rsid w:val="006225D9"/>
    <w:rsid w:val="006243E7"/>
    <w:rsid w:val="00632CB3"/>
    <w:rsid w:val="00643BAB"/>
    <w:rsid w:val="006445A9"/>
    <w:rsid w:val="00644FDF"/>
    <w:rsid w:val="00653F8E"/>
    <w:rsid w:val="0065546D"/>
    <w:rsid w:val="00656E6E"/>
    <w:rsid w:val="006665B2"/>
    <w:rsid w:val="0067150B"/>
    <w:rsid w:val="00677E89"/>
    <w:rsid w:val="00681314"/>
    <w:rsid w:val="006875B7"/>
    <w:rsid w:val="00690B28"/>
    <w:rsid w:val="006A1B8D"/>
    <w:rsid w:val="006A374E"/>
    <w:rsid w:val="006A5055"/>
    <w:rsid w:val="006A6D1D"/>
    <w:rsid w:val="006C1C7E"/>
    <w:rsid w:val="006C607A"/>
    <w:rsid w:val="006C6FF2"/>
    <w:rsid w:val="006D26F3"/>
    <w:rsid w:val="006D5346"/>
    <w:rsid w:val="006E7745"/>
    <w:rsid w:val="006F642C"/>
    <w:rsid w:val="006F7A2A"/>
    <w:rsid w:val="007055C1"/>
    <w:rsid w:val="0071041A"/>
    <w:rsid w:val="007158CB"/>
    <w:rsid w:val="00717718"/>
    <w:rsid w:val="00731CFB"/>
    <w:rsid w:val="00732495"/>
    <w:rsid w:val="00740595"/>
    <w:rsid w:val="00741789"/>
    <w:rsid w:val="00742931"/>
    <w:rsid w:val="00742E76"/>
    <w:rsid w:val="00752180"/>
    <w:rsid w:val="00755263"/>
    <w:rsid w:val="00756CEE"/>
    <w:rsid w:val="00773C66"/>
    <w:rsid w:val="0078249F"/>
    <w:rsid w:val="00785800"/>
    <w:rsid w:val="00787D7E"/>
    <w:rsid w:val="00790DD3"/>
    <w:rsid w:val="0079608D"/>
    <w:rsid w:val="007A0FC2"/>
    <w:rsid w:val="007A395C"/>
    <w:rsid w:val="007A7475"/>
    <w:rsid w:val="007B169D"/>
    <w:rsid w:val="007B6419"/>
    <w:rsid w:val="007B6EE4"/>
    <w:rsid w:val="007B7CD3"/>
    <w:rsid w:val="007C6F6F"/>
    <w:rsid w:val="007C7394"/>
    <w:rsid w:val="007C7971"/>
    <w:rsid w:val="007D0FA2"/>
    <w:rsid w:val="007D16BD"/>
    <w:rsid w:val="007D2032"/>
    <w:rsid w:val="007D6BA3"/>
    <w:rsid w:val="00803EAD"/>
    <w:rsid w:val="008111A1"/>
    <w:rsid w:val="008374EE"/>
    <w:rsid w:val="00845305"/>
    <w:rsid w:val="00846007"/>
    <w:rsid w:val="00856229"/>
    <w:rsid w:val="00856AEA"/>
    <w:rsid w:val="00860A65"/>
    <w:rsid w:val="008633AB"/>
    <w:rsid w:val="00863698"/>
    <w:rsid w:val="0087193B"/>
    <w:rsid w:val="00875B8E"/>
    <w:rsid w:val="008841A5"/>
    <w:rsid w:val="0088434D"/>
    <w:rsid w:val="008849E2"/>
    <w:rsid w:val="00887B31"/>
    <w:rsid w:val="00890F04"/>
    <w:rsid w:val="00894B49"/>
    <w:rsid w:val="00897980"/>
    <w:rsid w:val="008A22AB"/>
    <w:rsid w:val="008A29DE"/>
    <w:rsid w:val="008A7DE3"/>
    <w:rsid w:val="008B398C"/>
    <w:rsid w:val="008B40EC"/>
    <w:rsid w:val="008B4960"/>
    <w:rsid w:val="008B5DDD"/>
    <w:rsid w:val="008B6B06"/>
    <w:rsid w:val="008C0C9E"/>
    <w:rsid w:val="008D0F9A"/>
    <w:rsid w:val="008D4CB5"/>
    <w:rsid w:val="008E4EFE"/>
    <w:rsid w:val="008E78E5"/>
    <w:rsid w:val="008E7A9D"/>
    <w:rsid w:val="008F59EA"/>
    <w:rsid w:val="00904F9B"/>
    <w:rsid w:val="00920B16"/>
    <w:rsid w:val="00923B0B"/>
    <w:rsid w:val="00927992"/>
    <w:rsid w:val="00930C1A"/>
    <w:rsid w:val="00943063"/>
    <w:rsid w:val="00947834"/>
    <w:rsid w:val="00953D57"/>
    <w:rsid w:val="009635D2"/>
    <w:rsid w:val="0096591D"/>
    <w:rsid w:val="00972FB9"/>
    <w:rsid w:val="0098241E"/>
    <w:rsid w:val="00983148"/>
    <w:rsid w:val="009B1A4D"/>
    <w:rsid w:val="009B2D29"/>
    <w:rsid w:val="009B4D2F"/>
    <w:rsid w:val="009C040D"/>
    <w:rsid w:val="009C5E91"/>
    <w:rsid w:val="009C616F"/>
    <w:rsid w:val="009D0822"/>
    <w:rsid w:val="009D4B64"/>
    <w:rsid w:val="009E1D4C"/>
    <w:rsid w:val="009E51D1"/>
    <w:rsid w:val="009F4B63"/>
    <w:rsid w:val="009F7069"/>
    <w:rsid w:val="009F7F86"/>
    <w:rsid w:val="00A00399"/>
    <w:rsid w:val="00A0045A"/>
    <w:rsid w:val="00A04496"/>
    <w:rsid w:val="00A05A6C"/>
    <w:rsid w:val="00A12C17"/>
    <w:rsid w:val="00A15038"/>
    <w:rsid w:val="00A16634"/>
    <w:rsid w:val="00A20474"/>
    <w:rsid w:val="00A23609"/>
    <w:rsid w:val="00A271A7"/>
    <w:rsid w:val="00A3070D"/>
    <w:rsid w:val="00A3420B"/>
    <w:rsid w:val="00A41C91"/>
    <w:rsid w:val="00A4478E"/>
    <w:rsid w:val="00A44EA4"/>
    <w:rsid w:val="00A45F72"/>
    <w:rsid w:val="00A50B92"/>
    <w:rsid w:val="00A50D11"/>
    <w:rsid w:val="00A51931"/>
    <w:rsid w:val="00A52580"/>
    <w:rsid w:val="00A61454"/>
    <w:rsid w:val="00A669BE"/>
    <w:rsid w:val="00A72848"/>
    <w:rsid w:val="00A772AA"/>
    <w:rsid w:val="00A80421"/>
    <w:rsid w:val="00A81C7F"/>
    <w:rsid w:val="00A8648F"/>
    <w:rsid w:val="00A97D56"/>
    <w:rsid w:val="00AA0674"/>
    <w:rsid w:val="00AA52E6"/>
    <w:rsid w:val="00AC670C"/>
    <w:rsid w:val="00AC68B0"/>
    <w:rsid w:val="00AE1FCA"/>
    <w:rsid w:val="00AF0075"/>
    <w:rsid w:val="00AF0FE9"/>
    <w:rsid w:val="00AF6F51"/>
    <w:rsid w:val="00B001AE"/>
    <w:rsid w:val="00B16479"/>
    <w:rsid w:val="00B16933"/>
    <w:rsid w:val="00B224B6"/>
    <w:rsid w:val="00B247AA"/>
    <w:rsid w:val="00B27783"/>
    <w:rsid w:val="00B50661"/>
    <w:rsid w:val="00B5746D"/>
    <w:rsid w:val="00B77CB5"/>
    <w:rsid w:val="00B80AA9"/>
    <w:rsid w:val="00B826F9"/>
    <w:rsid w:val="00B83A30"/>
    <w:rsid w:val="00B87968"/>
    <w:rsid w:val="00B904F3"/>
    <w:rsid w:val="00BA01DC"/>
    <w:rsid w:val="00BA3DC2"/>
    <w:rsid w:val="00BA475F"/>
    <w:rsid w:val="00BB3E50"/>
    <w:rsid w:val="00BB3FF7"/>
    <w:rsid w:val="00BC5EC3"/>
    <w:rsid w:val="00BC6F58"/>
    <w:rsid w:val="00BC7CB7"/>
    <w:rsid w:val="00BD039D"/>
    <w:rsid w:val="00BD0B01"/>
    <w:rsid w:val="00BD2B86"/>
    <w:rsid w:val="00BD2EF4"/>
    <w:rsid w:val="00BD3AE2"/>
    <w:rsid w:val="00BF7734"/>
    <w:rsid w:val="00C0484F"/>
    <w:rsid w:val="00C111C1"/>
    <w:rsid w:val="00C14510"/>
    <w:rsid w:val="00C17025"/>
    <w:rsid w:val="00C22F53"/>
    <w:rsid w:val="00C24EE4"/>
    <w:rsid w:val="00C30E41"/>
    <w:rsid w:val="00C344CA"/>
    <w:rsid w:val="00C3472A"/>
    <w:rsid w:val="00C3727A"/>
    <w:rsid w:val="00C465ED"/>
    <w:rsid w:val="00C47E60"/>
    <w:rsid w:val="00C57A17"/>
    <w:rsid w:val="00C73D9D"/>
    <w:rsid w:val="00C74562"/>
    <w:rsid w:val="00C77442"/>
    <w:rsid w:val="00C80C78"/>
    <w:rsid w:val="00C818E3"/>
    <w:rsid w:val="00C86656"/>
    <w:rsid w:val="00C948EF"/>
    <w:rsid w:val="00C97616"/>
    <w:rsid w:val="00CA176C"/>
    <w:rsid w:val="00CA5174"/>
    <w:rsid w:val="00CA606F"/>
    <w:rsid w:val="00CA681F"/>
    <w:rsid w:val="00CB5160"/>
    <w:rsid w:val="00CB77AE"/>
    <w:rsid w:val="00CC5FA6"/>
    <w:rsid w:val="00CD021D"/>
    <w:rsid w:val="00CD0B87"/>
    <w:rsid w:val="00CD32A3"/>
    <w:rsid w:val="00CD6B16"/>
    <w:rsid w:val="00CE3932"/>
    <w:rsid w:val="00CE6A4A"/>
    <w:rsid w:val="00CE758F"/>
    <w:rsid w:val="00CF06A9"/>
    <w:rsid w:val="00CF39E0"/>
    <w:rsid w:val="00D01CF1"/>
    <w:rsid w:val="00D0411A"/>
    <w:rsid w:val="00D15E62"/>
    <w:rsid w:val="00D17A4B"/>
    <w:rsid w:val="00D2033E"/>
    <w:rsid w:val="00D30FF1"/>
    <w:rsid w:val="00D34715"/>
    <w:rsid w:val="00D421B0"/>
    <w:rsid w:val="00D4447C"/>
    <w:rsid w:val="00D44BB9"/>
    <w:rsid w:val="00D45CBA"/>
    <w:rsid w:val="00D46E05"/>
    <w:rsid w:val="00D47120"/>
    <w:rsid w:val="00D50FFC"/>
    <w:rsid w:val="00D53F9F"/>
    <w:rsid w:val="00D56072"/>
    <w:rsid w:val="00D60561"/>
    <w:rsid w:val="00D63827"/>
    <w:rsid w:val="00D83643"/>
    <w:rsid w:val="00D93B2E"/>
    <w:rsid w:val="00D97012"/>
    <w:rsid w:val="00D972F8"/>
    <w:rsid w:val="00D97DAF"/>
    <w:rsid w:val="00DA491A"/>
    <w:rsid w:val="00DC2B99"/>
    <w:rsid w:val="00DC50A8"/>
    <w:rsid w:val="00DD3168"/>
    <w:rsid w:val="00DD438C"/>
    <w:rsid w:val="00DD7446"/>
    <w:rsid w:val="00DE5D4C"/>
    <w:rsid w:val="00DF0A09"/>
    <w:rsid w:val="00DF2659"/>
    <w:rsid w:val="00DF4AEB"/>
    <w:rsid w:val="00E06747"/>
    <w:rsid w:val="00E14D1C"/>
    <w:rsid w:val="00E165C7"/>
    <w:rsid w:val="00E27A3D"/>
    <w:rsid w:val="00E36404"/>
    <w:rsid w:val="00E40E04"/>
    <w:rsid w:val="00E43A31"/>
    <w:rsid w:val="00E50662"/>
    <w:rsid w:val="00E616C6"/>
    <w:rsid w:val="00E6794C"/>
    <w:rsid w:val="00E7015B"/>
    <w:rsid w:val="00E8101E"/>
    <w:rsid w:val="00E85ACE"/>
    <w:rsid w:val="00E920A6"/>
    <w:rsid w:val="00E95054"/>
    <w:rsid w:val="00E9517E"/>
    <w:rsid w:val="00EA2626"/>
    <w:rsid w:val="00EB350B"/>
    <w:rsid w:val="00EB7434"/>
    <w:rsid w:val="00EC2A4E"/>
    <w:rsid w:val="00EC2ABF"/>
    <w:rsid w:val="00EC673F"/>
    <w:rsid w:val="00ED1ECA"/>
    <w:rsid w:val="00EF173B"/>
    <w:rsid w:val="00EF65A2"/>
    <w:rsid w:val="00F06800"/>
    <w:rsid w:val="00F06B79"/>
    <w:rsid w:val="00F07B8E"/>
    <w:rsid w:val="00F12DCC"/>
    <w:rsid w:val="00F24BEC"/>
    <w:rsid w:val="00F269B1"/>
    <w:rsid w:val="00F31C3E"/>
    <w:rsid w:val="00F3602C"/>
    <w:rsid w:val="00F3661B"/>
    <w:rsid w:val="00F40F9A"/>
    <w:rsid w:val="00F46B87"/>
    <w:rsid w:val="00F52CE5"/>
    <w:rsid w:val="00F54C78"/>
    <w:rsid w:val="00F56881"/>
    <w:rsid w:val="00F57BA2"/>
    <w:rsid w:val="00F604E6"/>
    <w:rsid w:val="00F749DC"/>
    <w:rsid w:val="00F82B4D"/>
    <w:rsid w:val="00F85FC5"/>
    <w:rsid w:val="00F92160"/>
    <w:rsid w:val="00F921BC"/>
    <w:rsid w:val="00FA651A"/>
    <w:rsid w:val="00FC659F"/>
    <w:rsid w:val="00FD3B8F"/>
    <w:rsid w:val="00FD5EE3"/>
    <w:rsid w:val="00FD69CB"/>
    <w:rsid w:val="00FE073F"/>
    <w:rsid w:val="00FE3792"/>
    <w:rsid w:val="00FE427A"/>
    <w:rsid w:val="00FE43AE"/>
    <w:rsid w:val="00FE50CC"/>
    <w:rsid w:val="00FE51E0"/>
    <w:rsid w:val="00FE5B7A"/>
    <w:rsid w:val="00FF294D"/>
    <w:rsid w:val="00FF53F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B9E"/>
    <w:pPr>
      <w:widowControl w:val="0"/>
      <w:autoSpaceDE w:val="0"/>
      <w:autoSpaceDN w:val="0"/>
      <w:adjustRightInd w:val="0"/>
      <w:spacing w:after="240"/>
      <w:jc w:val="both"/>
    </w:pPr>
    <w:rPr>
      <w:sz w:val="24"/>
      <w:szCs w:val="24"/>
      <w:lang w:eastAsia="en-US"/>
    </w:rPr>
  </w:style>
  <w:style w:type="paragraph" w:styleId="Heading1">
    <w:name w:val="heading 1"/>
    <w:aliases w:val="h1"/>
    <w:basedOn w:val="Normal"/>
    <w:next w:val="ORPara"/>
    <w:qFormat/>
    <w:rsid w:val="005D6B9E"/>
    <w:pPr>
      <w:keepNext/>
      <w:spacing w:before="120"/>
      <w:jc w:val="left"/>
      <w:outlineLvl w:val="0"/>
    </w:pPr>
    <w:rPr>
      <w:b/>
      <w:bCs/>
    </w:rPr>
  </w:style>
  <w:style w:type="paragraph" w:styleId="Heading2">
    <w:name w:val="heading 2"/>
    <w:aliases w:val="h2"/>
    <w:basedOn w:val="Normal"/>
    <w:next w:val="ORPara"/>
    <w:qFormat/>
    <w:rsid w:val="005D6B9E"/>
    <w:pPr>
      <w:keepNext/>
      <w:spacing w:before="120"/>
      <w:jc w:val="left"/>
      <w:outlineLvl w:val="1"/>
    </w:pPr>
    <w:rPr>
      <w:b/>
      <w:bCs/>
      <w:i/>
      <w:iCs/>
    </w:rPr>
  </w:style>
  <w:style w:type="paragraph" w:styleId="Heading3">
    <w:name w:val="heading 3"/>
    <w:aliases w:val="h3"/>
    <w:basedOn w:val="Normal"/>
    <w:next w:val="ORPara"/>
    <w:qFormat/>
    <w:rsid w:val="005D6B9E"/>
    <w:pPr>
      <w:keepNext/>
      <w:spacing w:before="120"/>
      <w:jc w:val="left"/>
      <w:outlineLvl w:val="2"/>
    </w:pPr>
    <w:rPr>
      <w:u w:val="single"/>
    </w:rPr>
  </w:style>
  <w:style w:type="paragraph" w:styleId="Heading4">
    <w:name w:val="heading 4"/>
    <w:aliases w:val="h4"/>
    <w:basedOn w:val="Normal"/>
    <w:next w:val="ORPara"/>
    <w:qFormat/>
    <w:rsid w:val="005D6B9E"/>
    <w:pPr>
      <w:keepNext/>
      <w:spacing w:before="120"/>
      <w:jc w:val="left"/>
      <w:outlineLvl w:val="3"/>
    </w:pPr>
    <w:rPr>
      <w:i/>
      <w:iCs/>
    </w:rPr>
  </w:style>
  <w:style w:type="paragraph" w:styleId="Heading5">
    <w:name w:val="heading 5"/>
    <w:aliases w:val="h5"/>
    <w:basedOn w:val="Normal"/>
    <w:next w:val="ORPara"/>
    <w:qFormat/>
    <w:rsid w:val="005D6B9E"/>
    <w:pPr>
      <w:keepNext/>
      <w:spacing w:before="120"/>
      <w:jc w:val="left"/>
      <w:outlineLvl w:val="4"/>
    </w:pPr>
  </w:style>
  <w:style w:type="paragraph" w:styleId="Heading6">
    <w:name w:val="heading 6"/>
    <w:aliases w:val="h6"/>
    <w:basedOn w:val="Normal"/>
    <w:next w:val="ORPara"/>
    <w:qFormat/>
    <w:rsid w:val="005D6B9E"/>
    <w:pPr>
      <w:keepNext/>
      <w:spacing w:before="120"/>
      <w:jc w:val="left"/>
      <w:outlineLvl w:val="5"/>
    </w:pPr>
  </w:style>
  <w:style w:type="paragraph" w:styleId="Heading7">
    <w:name w:val="heading 7"/>
    <w:aliases w:val="h7"/>
    <w:basedOn w:val="Normal"/>
    <w:next w:val="ORPara"/>
    <w:qFormat/>
    <w:rsid w:val="005D6B9E"/>
    <w:pPr>
      <w:keepNext/>
      <w:spacing w:before="120"/>
      <w:jc w:val="left"/>
      <w:outlineLvl w:val="6"/>
    </w:pPr>
  </w:style>
  <w:style w:type="paragraph" w:styleId="Heading8">
    <w:name w:val="heading 8"/>
    <w:aliases w:val="h8"/>
    <w:basedOn w:val="Normal"/>
    <w:next w:val="ORPara"/>
    <w:qFormat/>
    <w:rsid w:val="005D6B9E"/>
    <w:pPr>
      <w:keepNext/>
      <w:spacing w:before="120"/>
      <w:jc w:val="left"/>
      <w:outlineLvl w:val="7"/>
    </w:pPr>
  </w:style>
  <w:style w:type="paragraph" w:styleId="Heading9">
    <w:name w:val="heading 9"/>
    <w:aliases w:val="h9"/>
    <w:basedOn w:val="Normal"/>
    <w:next w:val="ORPara"/>
    <w:qFormat/>
    <w:rsid w:val="005D6B9E"/>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5D6B9E"/>
  </w:style>
  <w:style w:type="paragraph" w:styleId="BodyText">
    <w:name w:val="Body Text"/>
    <w:basedOn w:val="Normal"/>
    <w:rsid w:val="005D6B9E"/>
  </w:style>
  <w:style w:type="paragraph" w:customStyle="1" w:styleId="ORMainHeading">
    <w:name w:val="ORMainHeading"/>
    <w:aliases w:val="MH"/>
    <w:basedOn w:val="NormalSingle"/>
    <w:next w:val="ORPara"/>
    <w:autoRedefine/>
    <w:rsid w:val="005D6B9E"/>
    <w:pPr>
      <w:spacing w:line="360" w:lineRule="auto"/>
      <w:jc w:val="left"/>
      <w:outlineLvl w:val="0"/>
    </w:pPr>
    <w:rPr>
      <w:b/>
      <w:bCs/>
      <w:caps/>
    </w:rPr>
  </w:style>
  <w:style w:type="paragraph" w:styleId="Header">
    <w:name w:val="header"/>
    <w:basedOn w:val="NormalSingle"/>
    <w:rsid w:val="005D6B9E"/>
    <w:pPr>
      <w:tabs>
        <w:tab w:val="center" w:pos="4680"/>
        <w:tab w:val="right" w:pos="9360"/>
      </w:tabs>
      <w:spacing w:after="0"/>
      <w:jc w:val="left"/>
    </w:pPr>
  </w:style>
  <w:style w:type="paragraph" w:styleId="Footer">
    <w:name w:val="footer"/>
    <w:basedOn w:val="NormalSingle"/>
    <w:link w:val="FooterChar"/>
    <w:rsid w:val="005D6B9E"/>
    <w:pPr>
      <w:tabs>
        <w:tab w:val="center" w:pos="4680"/>
        <w:tab w:val="right" w:pos="9360"/>
      </w:tabs>
      <w:spacing w:after="0"/>
      <w:jc w:val="left"/>
    </w:pPr>
  </w:style>
  <w:style w:type="paragraph" w:customStyle="1" w:styleId="ORSubHeading">
    <w:name w:val="ORSubHeading"/>
    <w:aliases w:val="SH"/>
    <w:basedOn w:val="NormalSingle"/>
    <w:next w:val="ORPara"/>
    <w:rsid w:val="005D6B9E"/>
    <w:pPr>
      <w:keepNext/>
      <w:keepLines/>
      <w:spacing w:before="120" w:after="120"/>
      <w:jc w:val="left"/>
      <w:outlineLvl w:val="1"/>
    </w:pPr>
    <w:rPr>
      <w:b/>
      <w:bCs/>
    </w:rPr>
  </w:style>
  <w:style w:type="paragraph" w:customStyle="1" w:styleId="ORBulletList">
    <w:name w:val="ORBulletList"/>
    <w:aliases w:val="BL"/>
    <w:basedOn w:val="Normal"/>
    <w:rsid w:val="005D6B9E"/>
    <w:pPr>
      <w:tabs>
        <w:tab w:val="num" w:pos="1440"/>
      </w:tabs>
      <w:ind w:left="1440" w:hanging="720"/>
    </w:pPr>
  </w:style>
  <w:style w:type="paragraph" w:customStyle="1" w:styleId="ORBlock">
    <w:name w:val="ORBlock"/>
    <w:aliases w:val="B"/>
    <w:basedOn w:val="Normal"/>
    <w:rsid w:val="005D6B9E"/>
    <w:pPr>
      <w:ind w:left="720" w:right="720"/>
    </w:pPr>
  </w:style>
  <w:style w:type="paragraph" w:customStyle="1" w:styleId="ORBlock1">
    <w:name w:val="ORBlock1"/>
    <w:aliases w:val="B1"/>
    <w:basedOn w:val="Normal"/>
    <w:rsid w:val="005D6B9E"/>
    <w:pPr>
      <w:ind w:left="1440" w:right="1440"/>
    </w:pPr>
  </w:style>
  <w:style w:type="paragraph" w:customStyle="1" w:styleId="ORCentre">
    <w:name w:val="ORCentre"/>
    <w:aliases w:val="C"/>
    <w:basedOn w:val="Normal"/>
    <w:rsid w:val="005D6B9E"/>
    <w:pPr>
      <w:jc w:val="center"/>
    </w:pPr>
  </w:style>
  <w:style w:type="paragraph" w:customStyle="1" w:styleId="ORHanging">
    <w:name w:val="ORHanging"/>
    <w:aliases w:val="H"/>
    <w:basedOn w:val="Normal"/>
    <w:rsid w:val="005D6B9E"/>
    <w:pPr>
      <w:ind w:left="720" w:hanging="720"/>
    </w:pPr>
  </w:style>
  <w:style w:type="paragraph" w:customStyle="1" w:styleId="ORIndent1">
    <w:name w:val="ORIndent1"/>
    <w:aliases w:val="I1"/>
    <w:basedOn w:val="Normal"/>
    <w:rsid w:val="005D6B9E"/>
    <w:pPr>
      <w:ind w:left="720"/>
    </w:pPr>
  </w:style>
  <w:style w:type="paragraph" w:customStyle="1" w:styleId="ORIndent2">
    <w:name w:val="ORIndent2"/>
    <w:aliases w:val="I2"/>
    <w:basedOn w:val="Normal"/>
    <w:rsid w:val="005D6B9E"/>
    <w:pPr>
      <w:ind w:left="1440"/>
    </w:pPr>
  </w:style>
  <w:style w:type="paragraph" w:customStyle="1" w:styleId="ORIndent3">
    <w:name w:val="ORIndent3"/>
    <w:aliases w:val="I3"/>
    <w:basedOn w:val="Normal"/>
    <w:rsid w:val="005D6B9E"/>
    <w:pPr>
      <w:ind w:left="2160"/>
    </w:pPr>
  </w:style>
  <w:style w:type="paragraph" w:customStyle="1" w:styleId="ORIndent4">
    <w:name w:val="ORIndent4"/>
    <w:aliases w:val="I4"/>
    <w:basedOn w:val="Normal"/>
    <w:rsid w:val="005D6B9E"/>
    <w:pPr>
      <w:ind w:left="2880"/>
    </w:pPr>
  </w:style>
  <w:style w:type="paragraph" w:customStyle="1" w:styleId="ORIndent5">
    <w:name w:val="ORIndent5"/>
    <w:aliases w:val="I5"/>
    <w:basedOn w:val="Normal"/>
    <w:rsid w:val="005D6B9E"/>
    <w:pPr>
      <w:ind w:left="3600"/>
    </w:pPr>
  </w:style>
  <w:style w:type="paragraph" w:customStyle="1" w:styleId="ORLeft">
    <w:name w:val="ORLeft"/>
    <w:aliases w:val="L,G"/>
    <w:basedOn w:val="Normal"/>
    <w:rsid w:val="005D6B9E"/>
    <w:pPr>
      <w:jc w:val="left"/>
    </w:pPr>
  </w:style>
  <w:style w:type="paragraph" w:customStyle="1" w:styleId="ORPlain">
    <w:name w:val="ORPlain"/>
    <w:basedOn w:val="Normal"/>
    <w:autoRedefine/>
    <w:rsid w:val="005D6B9E"/>
    <w:pPr>
      <w:spacing w:line="360" w:lineRule="auto"/>
      <w:ind w:left="2160"/>
      <w:jc w:val="left"/>
    </w:pPr>
  </w:style>
  <w:style w:type="paragraph" w:customStyle="1" w:styleId="ORReference">
    <w:name w:val="ORReference"/>
    <w:aliases w:val="Ref"/>
    <w:basedOn w:val="Normal"/>
    <w:rsid w:val="005D6B9E"/>
    <w:rPr>
      <w:b/>
      <w:bCs/>
    </w:rPr>
  </w:style>
  <w:style w:type="paragraph" w:customStyle="1" w:styleId="ORRight">
    <w:name w:val="ORRight"/>
    <w:aliases w:val="R,D"/>
    <w:basedOn w:val="Normal"/>
    <w:rsid w:val="005D6B9E"/>
    <w:pPr>
      <w:jc w:val="right"/>
    </w:pPr>
  </w:style>
  <w:style w:type="paragraph" w:customStyle="1" w:styleId="ORSubHeadingNoToc">
    <w:name w:val="ORSubHeadingNoToc"/>
    <w:aliases w:val="SHNT"/>
    <w:basedOn w:val="ORSubHeading"/>
    <w:next w:val="ORPara"/>
    <w:rsid w:val="005D6B9E"/>
    <w:pPr>
      <w:outlineLvl w:val="9"/>
    </w:pPr>
  </w:style>
  <w:style w:type="paragraph" w:customStyle="1" w:styleId="ORTableHeading">
    <w:name w:val="ORTableHeading"/>
    <w:aliases w:val="TH"/>
    <w:basedOn w:val="NormalSingle"/>
    <w:rsid w:val="005D6B9E"/>
    <w:pPr>
      <w:keepNext/>
      <w:keepLines/>
      <w:spacing w:before="120" w:after="120"/>
      <w:jc w:val="center"/>
    </w:pPr>
    <w:rPr>
      <w:b/>
      <w:bCs/>
    </w:rPr>
  </w:style>
  <w:style w:type="paragraph" w:customStyle="1" w:styleId="ORTableText">
    <w:name w:val="ORTableText"/>
    <w:aliases w:val="TT"/>
    <w:basedOn w:val="Normal"/>
    <w:rsid w:val="005D6B9E"/>
    <w:pPr>
      <w:spacing w:before="60" w:after="60"/>
      <w:jc w:val="left"/>
    </w:pPr>
  </w:style>
  <w:style w:type="character" w:customStyle="1" w:styleId="Prompt">
    <w:name w:val="Prompt"/>
    <w:aliases w:val="PR"/>
    <w:rsid w:val="005D6B9E"/>
    <w:rPr>
      <w:rFonts w:ascii="Times New Roman" w:hAnsi="Times New Roman" w:cs="Times New Roman"/>
      <w:color w:val="0000FF"/>
      <w:sz w:val="24"/>
      <w:szCs w:val="24"/>
      <w:lang w:val="en-CA"/>
    </w:rPr>
  </w:style>
  <w:style w:type="paragraph" w:styleId="TOC1">
    <w:name w:val="toc 1"/>
    <w:basedOn w:val="Normal"/>
    <w:next w:val="ORPara"/>
    <w:hidden/>
    <w:rsid w:val="005D6B9E"/>
    <w:pPr>
      <w:tabs>
        <w:tab w:val="left" w:pos="720"/>
        <w:tab w:val="right" w:leader="dot" w:pos="9360"/>
      </w:tabs>
      <w:jc w:val="left"/>
    </w:pPr>
  </w:style>
  <w:style w:type="paragraph" w:styleId="TOC2">
    <w:name w:val="toc 2"/>
    <w:basedOn w:val="Normal"/>
    <w:next w:val="ORPara"/>
    <w:hidden/>
    <w:rsid w:val="005D6B9E"/>
    <w:pPr>
      <w:tabs>
        <w:tab w:val="left" w:pos="1440"/>
        <w:tab w:val="right" w:leader="dot" w:pos="9360"/>
      </w:tabs>
      <w:ind w:left="720"/>
      <w:jc w:val="left"/>
    </w:pPr>
  </w:style>
  <w:style w:type="paragraph" w:customStyle="1" w:styleId="ORCitation">
    <w:name w:val="ORCitation"/>
    <w:basedOn w:val="Normal"/>
    <w:next w:val="ORPara"/>
    <w:rsid w:val="005D6B9E"/>
    <w:pPr>
      <w:ind w:left="1440" w:right="1440"/>
    </w:pPr>
    <w:rPr>
      <w:sz w:val="22"/>
      <w:szCs w:val="22"/>
    </w:rPr>
  </w:style>
  <w:style w:type="paragraph" w:styleId="Subtitle">
    <w:name w:val="Subtitle"/>
    <w:aliases w:val="sub"/>
    <w:basedOn w:val="Normal"/>
    <w:next w:val="ORPara"/>
    <w:qFormat/>
    <w:rsid w:val="005D6B9E"/>
    <w:pPr>
      <w:jc w:val="center"/>
    </w:pPr>
    <w:rPr>
      <w:b/>
      <w:bCs/>
    </w:rPr>
  </w:style>
  <w:style w:type="paragraph" w:styleId="Title">
    <w:name w:val="Title"/>
    <w:aliases w:val="t"/>
    <w:basedOn w:val="Normal"/>
    <w:next w:val="ORPara"/>
    <w:qFormat/>
    <w:rsid w:val="005D6B9E"/>
    <w:pPr>
      <w:jc w:val="center"/>
    </w:pPr>
    <w:rPr>
      <w:b/>
      <w:bCs/>
      <w:sz w:val="28"/>
      <w:szCs w:val="28"/>
    </w:rPr>
  </w:style>
  <w:style w:type="paragraph" w:customStyle="1" w:styleId="ORTab">
    <w:name w:val="ORTab"/>
    <w:aliases w:val="T"/>
    <w:basedOn w:val="Normal"/>
    <w:autoRedefine/>
    <w:rsid w:val="005D6B9E"/>
    <w:pPr>
      <w:widowControl/>
      <w:spacing w:line="360" w:lineRule="auto"/>
    </w:pPr>
    <w:rPr>
      <w:rFonts w:ascii="Franklin Gothic Book" w:hAnsi="Franklin Gothic Book"/>
      <w:b/>
    </w:rPr>
  </w:style>
  <w:style w:type="paragraph" w:customStyle="1" w:styleId="NormalSingle">
    <w:name w:val="Normal Single"/>
    <w:rsid w:val="005D6B9E"/>
    <w:pPr>
      <w:widowControl w:val="0"/>
      <w:autoSpaceDE w:val="0"/>
      <w:autoSpaceDN w:val="0"/>
      <w:adjustRightInd w:val="0"/>
      <w:spacing w:after="240"/>
      <w:jc w:val="both"/>
    </w:pPr>
    <w:rPr>
      <w:sz w:val="24"/>
      <w:szCs w:val="24"/>
      <w:lang w:eastAsia="en-US"/>
    </w:rPr>
  </w:style>
  <w:style w:type="paragraph" w:customStyle="1" w:styleId="DocsID">
    <w:name w:val="DocsID"/>
    <w:basedOn w:val="Normal"/>
    <w:rsid w:val="005D6B9E"/>
    <w:pPr>
      <w:spacing w:before="20" w:after="0"/>
      <w:jc w:val="left"/>
    </w:pPr>
    <w:rPr>
      <w:color w:val="000080"/>
      <w:sz w:val="16"/>
      <w:szCs w:val="16"/>
    </w:rPr>
  </w:style>
  <w:style w:type="paragraph" w:customStyle="1" w:styleId="ORGenL1">
    <w:name w:val="ORGen L1"/>
    <w:aliases w:val="G1"/>
    <w:basedOn w:val="Normal"/>
    <w:next w:val="ORGenL2"/>
    <w:autoRedefine/>
    <w:rsid w:val="003760AF"/>
    <w:pPr>
      <w:widowControl/>
      <w:numPr>
        <w:numId w:val="2"/>
      </w:numPr>
      <w:spacing w:line="360" w:lineRule="auto"/>
      <w:outlineLvl w:val="0"/>
    </w:pPr>
    <w:rPr>
      <w:rFonts w:ascii="Franklin Gothic Book" w:hAnsi="Franklin Gothic Book"/>
      <w:spacing w:val="-4"/>
      <w:lang w:val="fr-CA"/>
    </w:rPr>
  </w:style>
  <w:style w:type="paragraph" w:customStyle="1" w:styleId="ORGenL2">
    <w:name w:val="ORGen L2"/>
    <w:aliases w:val="G2"/>
    <w:basedOn w:val="Normal"/>
    <w:autoRedefine/>
    <w:rsid w:val="000568F4"/>
    <w:pPr>
      <w:widowControl/>
    </w:pPr>
    <w:rPr>
      <w:rFonts w:ascii="Franklin Gothic Book" w:hAnsi="Franklin Gothic Book"/>
      <w:lang w:val="fr-CA"/>
    </w:rPr>
  </w:style>
  <w:style w:type="paragraph" w:customStyle="1" w:styleId="ORGenL3">
    <w:name w:val="ORGen L3"/>
    <w:aliases w:val="G3"/>
    <w:basedOn w:val="Normal"/>
    <w:autoRedefine/>
    <w:rsid w:val="00AC68B0"/>
    <w:pPr>
      <w:widowControl/>
      <w:spacing w:line="360" w:lineRule="auto"/>
      <w:ind w:left="1418"/>
      <w:outlineLvl w:val="2"/>
    </w:pPr>
    <w:rPr>
      <w:rFonts w:ascii="Franklin Gothic Book" w:hAnsi="Franklin Gothic Book"/>
    </w:rPr>
  </w:style>
  <w:style w:type="paragraph" w:customStyle="1" w:styleId="ORGenL4">
    <w:name w:val="ORGen L4"/>
    <w:aliases w:val="G4"/>
    <w:basedOn w:val="Normal"/>
    <w:rsid w:val="005D6B9E"/>
    <w:pPr>
      <w:numPr>
        <w:ilvl w:val="3"/>
        <w:numId w:val="1"/>
      </w:numPr>
    </w:pPr>
  </w:style>
  <w:style w:type="paragraph" w:customStyle="1" w:styleId="ORGenL5">
    <w:name w:val="ORGen L5"/>
    <w:aliases w:val="G5"/>
    <w:basedOn w:val="Normal"/>
    <w:rsid w:val="005D6B9E"/>
    <w:pPr>
      <w:numPr>
        <w:ilvl w:val="4"/>
        <w:numId w:val="1"/>
      </w:numPr>
    </w:pPr>
  </w:style>
  <w:style w:type="paragraph" w:customStyle="1" w:styleId="ORGenL6">
    <w:name w:val="ORGen L6"/>
    <w:aliases w:val="G6"/>
    <w:basedOn w:val="Normal"/>
    <w:rsid w:val="005D6B9E"/>
    <w:pPr>
      <w:numPr>
        <w:ilvl w:val="5"/>
        <w:numId w:val="1"/>
      </w:numPr>
    </w:pPr>
  </w:style>
  <w:style w:type="paragraph" w:customStyle="1" w:styleId="ORGenL7">
    <w:name w:val="ORGen L7"/>
    <w:aliases w:val="G7"/>
    <w:basedOn w:val="Normal"/>
    <w:rsid w:val="005D6B9E"/>
    <w:pPr>
      <w:numPr>
        <w:ilvl w:val="6"/>
        <w:numId w:val="1"/>
      </w:numPr>
    </w:pPr>
  </w:style>
  <w:style w:type="paragraph" w:customStyle="1" w:styleId="ORGenL8">
    <w:name w:val="ORGen L8"/>
    <w:aliases w:val="G8"/>
    <w:basedOn w:val="Normal"/>
    <w:rsid w:val="005D6B9E"/>
    <w:pPr>
      <w:numPr>
        <w:ilvl w:val="7"/>
        <w:numId w:val="1"/>
      </w:numPr>
    </w:pPr>
  </w:style>
  <w:style w:type="paragraph" w:customStyle="1" w:styleId="ORGenL9">
    <w:name w:val="ORGen L9"/>
    <w:aliases w:val="G9"/>
    <w:basedOn w:val="Normal"/>
    <w:rsid w:val="005D6B9E"/>
    <w:pPr>
      <w:numPr>
        <w:ilvl w:val="8"/>
        <w:numId w:val="1"/>
      </w:numPr>
    </w:pPr>
  </w:style>
  <w:style w:type="character" w:styleId="PageNumber">
    <w:name w:val="page number"/>
    <w:rsid w:val="005D6B9E"/>
    <w:rPr>
      <w:rFonts w:ascii="Times New Roman" w:hAnsi="Times New Roman" w:cs="Times New Roman"/>
      <w:sz w:val="24"/>
      <w:szCs w:val="24"/>
      <w:lang w:val="en-CA"/>
    </w:rPr>
  </w:style>
  <w:style w:type="paragraph" w:customStyle="1" w:styleId="Addenda">
    <w:name w:val="Addenda"/>
    <w:basedOn w:val="Normal"/>
    <w:next w:val="Normal"/>
    <w:rsid w:val="005D6B9E"/>
    <w:pPr>
      <w:keepNext/>
      <w:keepLines/>
      <w:tabs>
        <w:tab w:val="right" w:pos="8640"/>
      </w:tabs>
      <w:jc w:val="center"/>
      <w:outlineLvl w:val="4"/>
    </w:pPr>
    <w:rPr>
      <w:b/>
      <w:bCs/>
      <w:caps/>
    </w:rPr>
  </w:style>
  <w:style w:type="paragraph" w:customStyle="1" w:styleId="SigningLine">
    <w:name w:val="SigningLine"/>
    <w:basedOn w:val="Normal"/>
    <w:rsid w:val="005D6B9E"/>
    <w:pPr>
      <w:spacing w:before="40" w:after="40"/>
      <w:jc w:val="left"/>
    </w:pPr>
  </w:style>
  <w:style w:type="paragraph" w:styleId="BalloonText">
    <w:name w:val="Balloon Text"/>
    <w:basedOn w:val="Normal"/>
    <w:hidden/>
    <w:rsid w:val="005D6B9E"/>
    <w:rPr>
      <w:rFonts w:ascii="Tahoma" w:hAnsi="Tahoma" w:cs="Tahoma"/>
      <w:sz w:val="16"/>
      <w:szCs w:val="16"/>
    </w:rPr>
  </w:style>
  <w:style w:type="character" w:styleId="Emphasis">
    <w:name w:val="Emphasis"/>
    <w:qFormat/>
    <w:rsid w:val="00264DFF"/>
    <w:rPr>
      <w:rFonts w:ascii="Times New Roman" w:hAnsi="Times New Roman" w:cs="Times New Roman"/>
      <w:i/>
      <w:iCs/>
      <w:sz w:val="24"/>
      <w:szCs w:val="24"/>
      <w:lang w:val="en-CA"/>
    </w:rPr>
  </w:style>
  <w:style w:type="paragraph" w:styleId="FootnoteText">
    <w:name w:val="footnote text"/>
    <w:aliases w:val="Car"/>
    <w:basedOn w:val="Normal"/>
    <w:hidden/>
    <w:rsid w:val="005D6B9E"/>
    <w:rPr>
      <w:sz w:val="20"/>
      <w:szCs w:val="20"/>
    </w:rPr>
  </w:style>
  <w:style w:type="character" w:customStyle="1" w:styleId="CharChar">
    <w:name w:val="Char Char"/>
    <w:hidden/>
    <w:rsid w:val="00264DFF"/>
    <w:rPr>
      <w:rFonts w:ascii="Times New Roman" w:hAnsi="Times New Roman" w:cs="Times New Roman"/>
      <w:sz w:val="24"/>
      <w:szCs w:val="24"/>
      <w:lang w:val="en-CA"/>
    </w:rPr>
  </w:style>
  <w:style w:type="character" w:styleId="FootnoteReference">
    <w:name w:val="footnote reference"/>
    <w:hidden/>
    <w:rsid w:val="005D6B9E"/>
    <w:rPr>
      <w:rFonts w:ascii="Times New Roman" w:hAnsi="Times New Roman" w:cs="Times New Roman"/>
      <w:sz w:val="24"/>
      <w:szCs w:val="24"/>
      <w:vertAlign w:val="superscript"/>
      <w:lang w:val="en-CA"/>
    </w:rPr>
  </w:style>
  <w:style w:type="character" w:customStyle="1" w:styleId="CharChar1">
    <w:name w:val="Char Char1"/>
    <w:rsid w:val="00264DFF"/>
    <w:rPr>
      <w:rFonts w:ascii="Times New Roman" w:hAnsi="Times New Roman" w:cs="Times New Roman"/>
      <w:sz w:val="24"/>
      <w:szCs w:val="24"/>
      <w:lang w:val="en-CA"/>
    </w:rPr>
  </w:style>
  <w:style w:type="paragraph" w:customStyle="1" w:styleId="DeltaViewTableHeading">
    <w:name w:val="DeltaView Table Heading"/>
    <w:basedOn w:val="Normal"/>
    <w:rsid w:val="00264DFF"/>
    <w:pPr>
      <w:widowControl/>
      <w:spacing w:after="120"/>
      <w:jc w:val="left"/>
    </w:pPr>
    <w:rPr>
      <w:rFonts w:ascii="Arial" w:hAnsi="Arial" w:cs="Arial"/>
      <w:b/>
      <w:bCs/>
      <w:lang w:val="en-US"/>
    </w:rPr>
  </w:style>
  <w:style w:type="paragraph" w:customStyle="1" w:styleId="DeltaViewTableBody">
    <w:name w:val="DeltaView Table Body"/>
    <w:basedOn w:val="Normal"/>
    <w:rsid w:val="00264DFF"/>
    <w:pPr>
      <w:widowControl/>
      <w:spacing w:after="0"/>
      <w:jc w:val="left"/>
    </w:pPr>
    <w:rPr>
      <w:rFonts w:ascii="Arial" w:hAnsi="Arial" w:cs="Arial"/>
      <w:lang w:val="en-US"/>
    </w:rPr>
  </w:style>
  <w:style w:type="paragraph" w:customStyle="1" w:styleId="DeltaViewAnnounce">
    <w:name w:val="DeltaView Announce"/>
    <w:rsid w:val="00264DFF"/>
    <w:pPr>
      <w:autoSpaceDE w:val="0"/>
      <w:autoSpaceDN w:val="0"/>
      <w:adjustRightInd w:val="0"/>
      <w:spacing w:before="100" w:beforeAutospacing="1" w:after="100" w:afterAutospacing="1"/>
    </w:pPr>
    <w:rPr>
      <w:rFonts w:ascii="Arial" w:hAnsi="Arial" w:cs="Arial"/>
      <w:sz w:val="24"/>
      <w:szCs w:val="24"/>
      <w:lang w:val="en-GB" w:eastAsia="en-US"/>
    </w:rPr>
  </w:style>
  <w:style w:type="character" w:styleId="CommentReference">
    <w:name w:val="annotation reference"/>
    <w:rsid w:val="00264DFF"/>
    <w:rPr>
      <w:sz w:val="16"/>
      <w:szCs w:val="16"/>
    </w:rPr>
  </w:style>
  <w:style w:type="character" w:customStyle="1" w:styleId="DeltaViewInsertion">
    <w:name w:val="DeltaView Insertion"/>
    <w:rsid w:val="00264DFF"/>
    <w:rPr>
      <w:color w:val="0000FF"/>
      <w:u w:val="double"/>
    </w:rPr>
  </w:style>
  <w:style w:type="character" w:customStyle="1" w:styleId="DeltaViewDeletion">
    <w:name w:val="DeltaView Deletion"/>
    <w:rsid w:val="00264DFF"/>
    <w:rPr>
      <w:strike/>
      <w:color w:val="FF0000"/>
    </w:rPr>
  </w:style>
  <w:style w:type="character" w:customStyle="1" w:styleId="DeltaViewMoveSource">
    <w:name w:val="DeltaView Move Source"/>
    <w:rsid w:val="00264DFF"/>
    <w:rPr>
      <w:strike/>
      <w:color w:val="00C000"/>
    </w:rPr>
  </w:style>
  <w:style w:type="character" w:customStyle="1" w:styleId="DeltaViewMoveDestination">
    <w:name w:val="DeltaView Move Destination"/>
    <w:rsid w:val="00264DFF"/>
    <w:rPr>
      <w:color w:val="00C000"/>
      <w:u w:val="double"/>
    </w:rPr>
  </w:style>
  <w:style w:type="paragraph" w:styleId="CommentText">
    <w:name w:val="annotation text"/>
    <w:basedOn w:val="Normal"/>
    <w:next w:val="ORCentre"/>
    <w:rsid w:val="00264DFF"/>
    <w:pPr>
      <w:widowControl/>
      <w:spacing w:after="0"/>
      <w:jc w:val="left"/>
    </w:pPr>
    <w:rPr>
      <w:sz w:val="20"/>
      <w:szCs w:val="20"/>
      <w:lang w:val="en-US"/>
    </w:rPr>
  </w:style>
  <w:style w:type="character" w:customStyle="1" w:styleId="DeltaViewChangeNumber">
    <w:name w:val="DeltaView Change Number"/>
    <w:rsid w:val="00264DFF"/>
    <w:rPr>
      <w:color w:val="000000"/>
      <w:vertAlign w:val="superscript"/>
    </w:rPr>
  </w:style>
  <w:style w:type="character" w:customStyle="1" w:styleId="DeltaViewDelimiter">
    <w:name w:val="DeltaView Delimiter"/>
    <w:rsid w:val="00264DFF"/>
  </w:style>
  <w:style w:type="paragraph" w:styleId="DocumentMap">
    <w:name w:val="Document Map"/>
    <w:basedOn w:val="Normal"/>
    <w:next w:val="ORIndent2"/>
    <w:rsid w:val="00264DFF"/>
    <w:pPr>
      <w:widowControl/>
      <w:shd w:val="clear" w:color="auto" w:fill="000080"/>
      <w:spacing w:after="0"/>
      <w:jc w:val="left"/>
    </w:pPr>
    <w:rPr>
      <w:rFonts w:ascii="Tahoma" w:hAnsi="Tahoma" w:cs="Tahoma"/>
      <w:lang w:val="en-US"/>
    </w:rPr>
  </w:style>
  <w:style w:type="character" w:customStyle="1" w:styleId="DeltaViewFormatChange">
    <w:name w:val="DeltaView Format Change"/>
    <w:rsid w:val="00264DFF"/>
    <w:rPr>
      <w:color w:val="000000"/>
    </w:rPr>
  </w:style>
  <w:style w:type="character" w:customStyle="1" w:styleId="DeltaViewMovedDeletion">
    <w:name w:val="DeltaView Moved Deletion"/>
    <w:rsid w:val="00264DFF"/>
    <w:rPr>
      <w:strike/>
      <w:color w:val="C08080"/>
    </w:rPr>
  </w:style>
  <w:style w:type="character" w:customStyle="1" w:styleId="DeltaViewComment">
    <w:name w:val="DeltaView Comment"/>
    <w:rsid w:val="00264DFF"/>
    <w:rPr>
      <w:color w:val="000000"/>
    </w:rPr>
  </w:style>
  <w:style w:type="character" w:customStyle="1" w:styleId="DeltaViewStyleChangeText">
    <w:name w:val="DeltaView Style Change Text"/>
    <w:rsid w:val="00264DFF"/>
    <w:rPr>
      <w:color w:val="000000"/>
      <w:u w:val="double"/>
    </w:rPr>
  </w:style>
  <w:style w:type="character" w:customStyle="1" w:styleId="DeltaViewStyleChangeLabel">
    <w:name w:val="DeltaView Style Change Label"/>
    <w:rsid w:val="00264DFF"/>
    <w:rPr>
      <w:color w:val="000000"/>
    </w:rPr>
  </w:style>
  <w:style w:type="character" w:customStyle="1" w:styleId="DeltaViewInsertedComment">
    <w:name w:val="DeltaView Inserted Comment"/>
    <w:rsid w:val="00264DFF"/>
    <w:rPr>
      <w:color w:val="0000FF"/>
      <w:u w:val="double"/>
    </w:rPr>
  </w:style>
  <w:style w:type="character" w:customStyle="1" w:styleId="DeltaViewDeletedComment">
    <w:name w:val="DeltaView Deleted Comment"/>
    <w:rsid w:val="00264DFF"/>
    <w:rPr>
      <w:strike/>
      <w:color w:val="FF0000"/>
    </w:rPr>
  </w:style>
  <w:style w:type="paragraph" w:customStyle="1" w:styleId="Level1">
    <w:name w:val="Level 1"/>
    <w:basedOn w:val="Normal"/>
    <w:uiPriority w:val="99"/>
    <w:rsid w:val="00FD69CB"/>
    <w:pPr>
      <w:spacing w:after="0"/>
      <w:ind w:left="720" w:hanging="720"/>
      <w:jc w:val="left"/>
      <w:outlineLvl w:val="0"/>
    </w:pPr>
    <w:rPr>
      <w:rFonts w:ascii="Courier" w:hAnsi="Courier"/>
      <w:lang w:val="en-US" w:eastAsia="en-CA"/>
    </w:rPr>
  </w:style>
  <w:style w:type="character" w:customStyle="1" w:styleId="FooterChar">
    <w:name w:val="Footer Char"/>
    <w:link w:val="Footer"/>
    <w:rsid w:val="003A239D"/>
    <w:rPr>
      <w:sz w:val="24"/>
      <w:szCs w:val="24"/>
      <w:lang w:eastAsia="en-US"/>
    </w:rPr>
  </w:style>
  <w:style w:type="character" w:customStyle="1" w:styleId="tw4winMark">
    <w:name w:val="tw4winMark"/>
    <w:rsid w:val="00334EBD"/>
    <w:rPr>
      <w:rFonts w:ascii="Courier New" w:hAnsi="Courier New" w:cs="Courier New"/>
      <w:vanish/>
      <w:color w:val="800080"/>
      <w:sz w:val="24"/>
      <w:vertAlign w:val="subscript"/>
    </w:rPr>
  </w:style>
  <w:style w:type="character" w:customStyle="1" w:styleId="tw4winTerm">
    <w:name w:val="tw4winTerm"/>
    <w:rsid w:val="00334EBD"/>
    <w:rPr>
      <w:color w:val="FF6600"/>
      <w:sz w:val="24"/>
    </w:rPr>
  </w:style>
  <w:style w:type="character" w:customStyle="1" w:styleId="fusionSegmentGuarded">
    <w:name w:val="fusionSegmentGuarded"/>
    <w:rsid w:val="00334EBD"/>
    <w:rPr>
      <w:rFonts w:ascii="Courier New" w:hAnsi="Courier New" w:cs="Courier New"/>
      <w:vanish/>
      <w:color w:val="FF0000"/>
      <w:sz w:val="24"/>
      <w:shd w:val="clear" w:color="auto" w:fill="FFCC00"/>
      <w:vertAlign w:val="subscript"/>
    </w:rPr>
  </w:style>
  <w:style w:type="character" w:customStyle="1" w:styleId="fusionSegmentForReview">
    <w:name w:val="fusionSegmentForReview"/>
    <w:rsid w:val="00334EBD"/>
    <w:rPr>
      <w:rFonts w:ascii="Courier New" w:hAnsi="Courier New" w:cs="Courier New"/>
      <w:vanish/>
      <w:color w:val="800080"/>
      <w:sz w:val="24"/>
      <w:shd w:val="clear" w:color="auto" w:fill="FFFF99"/>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DD4D-E77D-4088-9EFF-9EAC836DEC29}">
  <ds:schemaRefs>
    <ds:schemaRef ds:uri="http://schemas.openxmlformats.org/officeDocument/2006/bibliography"/>
  </ds:schemaRefs>
</ds:datastoreItem>
</file>

<file path=customXml/itemProps2.xml><?xml version="1.0" encoding="utf-8"?>
<ds:datastoreItem xmlns:ds="http://schemas.openxmlformats.org/officeDocument/2006/customXml" ds:itemID="{ADA2D639-CDED-4B60-B7F8-BE8C0AF8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5215</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Stewart, Paulette (ECO/BCE)</dc:creator>
  <cp:lastModifiedBy/>
  <cp:revision>1</cp:revision>
  <dcterms:created xsi:type="dcterms:W3CDTF">2022-05-05T12:25:00Z</dcterms:created>
  <dcterms:modified xsi:type="dcterms:W3CDTF">2022-05-05T12:25:00Z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
  </property>
  <property fmtid="{D5CDD505-2E9C-101B-9397-08002B2CF9AE}" pid="3" name="MAIL_MSG_ID1">
    <vt:lpwstr>oFAAspTNh41gn7BWB3GlCBdAdRLQIJscQnjJQRmCuekm/BWX7gcVjqiJen/R+ZCqc/Z/nRdsbKeAMRSa_x000d_
ixIpFo24tZXhsKTC9ffHeDv8StdV255m565Qe3dKzwrPJwX6biwyocMi5IdqUVW07EYE1qjNMmaH_x000d_
jitutflNV4cgRTU6nkbKK9ZOMuLkuO7dVXY2X4tiDoOMswqBBNwNfTq1lWEACUb81I+JKsmkLqq5_x000d_
SHYTP6QgpVon16flF</vt:lpwstr>
  </property>
  <property fmtid="{D5CDD505-2E9C-101B-9397-08002B2CF9AE}" pid="4" name="MAIL_MSG_ID2">
    <vt:lpwstr>PhlOjv5ITDG6GbfmmxqXkdaDnEaLEnsmtuCHDUZxsTjf+k7EPg1K4zYHuRq_x000d_
Y/hGAUBej+3pey48jtAa9aTEPMMc9X9rn4rSnIqrHNP1RN4A</vt:lpwstr>
  </property>
  <property fmtid="{D5CDD505-2E9C-101B-9397-08002B2CF9AE}" pid="5" name="RESPONSE_SENDER_NAME">
    <vt:lpwstr>sAAAGYoQX4c3X/K/awfOvLvy3j6Qbcj+zlb7PWo3qnVENrk=</vt:lpwstr>
  </property>
  <property fmtid="{D5CDD505-2E9C-101B-9397-08002B2CF9AE}" pid="6" name="EMAIL_OWNER_ADDRESS">
    <vt:lpwstr>4AAA6DouqOs9baGcG2e2Ct+DpjvjThRejXqXtj4VyFrKA5xi89mcqfnGfQ==</vt:lpwstr>
  </property>
</Properties>
</file>